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rPr>
          <w:rFonts w:ascii="楷体" w:hAnsi="楷体" w:eastAsia="楷体"/>
          <w:b/>
          <w:spacing w:val="-6"/>
          <w:sz w:val="44"/>
          <w:szCs w:val="44"/>
          <w:highlight w:val="none"/>
        </w:rPr>
      </w:pPr>
    </w:p>
    <w:p>
      <w:pPr>
        <w:pStyle w:val="32"/>
        <w:spacing w:line="360" w:lineRule="auto"/>
        <w:rPr>
          <w:color w:val="auto"/>
          <w:highlight w:val="none"/>
        </w:rPr>
      </w:pPr>
    </w:p>
    <w:p>
      <w:pPr>
        <w:spacing w:line="360" w:lineRule="auto"/>
        <w:jc w:val="center"/>
        <w:rPr>
          <w:rFonts w:ascii="楷体" w:hAnsi="楷体" w:eastAsia="楷体"/>
          <w:b/>
          <w:spacing w:val="-6"/>
          <w:sz w:val="48"/>
          <w:szCs w:val="48"/>
          <w:highlight w:val="none"/>
        </w:rPr>
      </w:pPr>
      <w:r>
        <w:rPr>
          <w:rFonts w:hint="eastAsia" w:ascii="楷体" w:hAnsi="楷体" w:eastAsia="楷体"/>
          <w:b/>
          <w:spacing w:val="-6"/>
          <w:sz w:val="48"/>
          <w:szCs w:val="48"/>
          <w:highlight w:val="none"/>
        </w:rPr>
        <w:t>浙江求是招标代理有限公司关于</w:t>
      </w:r>
    </w:p>
    <w:p>
      <w:pPr>
        <w:spacing w:line="360" w:lineRule="auto"/>
        <w:jc w:val="center"/>
        <w:rPr>
          <w:rFonts w:hint="eastAsia" w:ascii="楷体" w:hAnsi="楷体" w:eastAsia="楷体"/>
          <w:b/>
          <w:spacing w:val="-6"/>
          <w:sz w:val="48"/>
          <w:szCs w:val="48"/>
          <w:highlight w:val="none"/>
          <w:lang w:eastAsia="zh-CN"/>
        </w:rPr>
      </w:pPr>
      <w:r>
        <w:rPr>
          <w:rFonts w:hint="eastAsia" w:ascii="楷体" w:hAnsi="楷体" w:eastAsia="楷体"/>
          <w:b/>
          <w:spacing w:val="-6"/>
          <w:sz w:val="48"/>
          <w:szCs w:val="48"/>
          <w:highlight w:val="none"/>
          <w:lang w:eastAsia="zh-CN"/>
        </w:rPr>
        <w:t>浙江金融职业学院</w:t>
      </w:r>
    </w:p>
    <w:p>
      <w:pPr>
        <w:spacing w:line="360" w:lineRule="auto"/>
        <w:jc w:val="center"/>
        <w:rPr>
          <w:rFonts w:hint="eastAsia" w:ascii="楷体" w:hAnsi="楷体" w:eastAsia="楷体"/>
          <w:b/>
          <w:spacing w:val="-6"/>
          <w:sz w:val="48"/>
          <w:szCs w:val="48"/>
          <w:highlight w:val="none"/>
          <w:lang w:eastAsia="zh-CN"/>
        </w:rPr>
      </w:pPr>
      <w:r>
        <w:rPr>
          <w:rFonts w:hint="eastAsia" w:ascii="楷体" w:hAnsi="楷体" w:eastAsia="楷体"/>
          <w:b/>
          <w:spacing w:val="-6"/>
          <w:sz w:val="48"/>
          <w:szCs w:val="48"/>
          <w:highlight w:val="none"/>
          <w:lang w:eastAsia="zh-CN"/>
        </w:rPr>
        <w:t>2023年第一期公款竞争性存放</w:t>
      </w:r>
    </w:p>
    <w:p>
      <w:pPr>
        <w:spacing w:line="360" w:lineRule="auto"/>
        <w:jc w:val="center"/>
        <w:rPr>
          <w:rFonts w:ascii="楷体" w:hAnsi="楷体" w:eastAsia="楷体"/>
          <w:b/>
          <w:sz w:val="72"/>
          <w:szCs w:val="72"/>
          <w:highlight w:val="none"/>
        </w:rPr>
      </w:pPr>
    </w:p>
    <w:p>
      <w:pPr>
        <w:spacing w:line="360" w:lineRule="auto"/>
        <w:jc w:val="center"/>
        <w:rPr>
          <w:rFonts w:ascii="楷体" w:hAnsi="楷体" w:eastAsia="楷体"/>
          <w:b/>
          <w:spacing w:val="-6"/>
          <w:sz w:val="72"/>
          <w:szCs w:val="72"/>
          <w:highlight w:val="none"/>
        </w:rPr>
      </w:pPr>
      <w:r>
        <w:rPr>
          <w:rFonts w:hint="eastAsia" w:ascii="楷体" w:hAnsi="楷体" w:eastAsia="楷体"/>
          <w:b/>
          <w:spacing w:val="-6"/>
          <w:sz w:val="72"/>
          <w:szCs w:val="72"/>
          <w:highlight w:val="none"/>
        </w:rPr>
        <w:t>招 标 文 件</w:t>
      </w:r>
    </w:p>
    <w:p>
      <w:pPr>
        <w:spacing w:line="360" w:lineRule="auto"/>
        <w:jc w:val="center"/>
        <w:rPr>
          <w:rFonts w:ascii="楷体" w:hAnsi="楷体" w:eastAsia="楷体"/>
          <w:sz w:val="44"/>
          <w:szCs w:val="44"/>
          <w:highlight w:val="none"/>
        </w:rPr>
      </w:pPr>
    </w:p>
    <w:p>
      <w:pPr>
        <w:spacing w:line="360" w:lineRule="auto"/>
        <w:rPr>
          <w:rFonts w:hint="eastAsia" w:ascii="楷体" w:hAnsi="楷体" w:eastAsia="楷体"/>
          <w:b/>
          <w:spacing w:val="-6"/>
          <w:sz w:val="30"/>
          <w:szCs w:val="30"/>
          <w:highlight w:val="none"/>
          <w:lang w:eastAsia="zh-CN"/>
        </w:rPr>
      </w:pPr>
      <w:r>
        <w:rPr>
          <w:rFonts w:hint="eastAsia" w:ascii="楷体" w:hAnsi="楷体" w:eastAsia="楷体"/>
          <w:b/>
          <w:spacing w:val="-6"/>
          <w:sz w:val="30"/>
          <w:szCs w:val="30"/>
          <w:highlight w:val="none"/>
        </w:rPr>
        <w:t>招 标 人：</w:t>
      </w:r>
      <w:r>
        <w:rPr>
          <w:rFonts w:hint="eastAsia" w:ascii="楷体" w:hAnsi="楷体" w:eastAsia="楷体"/>
          <w:b/>
          <w:spacing w:val="-6"/>
          <w:sz w:val="30"/>
          <w:szCs w:val="30"/>
          <w:highlight w:val="none"/>
          <w:lang w:eastAsia="zh-CN"/>
        </w:rPr>
        <w:t>浙江金融职业学院</w:t>
      </w:r>
    </w:p>
    <w:p>
      <w:pPr>
        <w:spacing w:line="360" w:lineRule="auto"/>
        <w:rPr>
          <w:rFonts w:hint="eastAsia" w:ascii="楷体" w:hAnsi="楷体" w:eastAsia="楷体"/>
          <w:b/>
          <w:spacing w:val="-6"/>
          <w:sz w:val="30"/>
          <w:szCs w:val="30"/>
          <w:highlight w:val="none"/>
          <w:lang w:eastAsia="zh-CN"/>
        </w:rPr>
      </w:pPr>
      <w:r>
        <w:rPr>
          <w:rFonts w:hint="eastAsia" w:ascii="楷体" w:hAnsi="楷体" w:eastAsia="楷体"/>
          <w:b/>
          <w:spacing w:val="-6"/>
          <w:sz w:val="30"/>
          <w:szCs w:val="30"/>
          <w:highlight w:val="none"/>
        </w:rPr>
        <w:t>招标项目名称：</w:t>
      </w:r>
      <w:r>
        <w:rPr>
          <w:rFonts w:hint="eastAsia" w:ascii="楷体" w:hAnsi="楷体" w:eastAsia="楷体"/>
          <w:b/>
          <w:spacing w:val="-6"/>
          <w:sz w:val="30"/>
          <w:szCs w:val="30"/>
          <w:highlight w:val="none"/>
          <w:lang w:eastAsia="zh-CN"/>
        </w:rPr>
        <w:t>2023年第一期公款竞争性存放</w:t>
      </w:r>
    </w:p>
    <w:p>
      <w:pPr>
        <w:spacing w:line="360" w:lineRule="auto"/>
        <w:rPr>
          <w:rFonts w:hint="eastAsia" w:ascii="楷体" w:hAnsi="楷体" w:eastAsia="楷体"/>
          <w:b/>
          <w:spacing w:val="-6"/>
          <w:sz w:val="30"/>
          <w:szCs w:val="30"/>
          <w:highlight w:val="none"/>
          <w:lang w:eastAsia="zh-CN"/>
        </w:rPr>
      </w:pPr>
      <w:r>
        <w:rPr>
          <w:rFonts w:hint="eastAsia" w:ascii="楷体" w:hAnsi="楷体" w:eastAsia="楷体"/>
          <w:b/>
          <w:spacing w:val="-6"/>
          <w:sz w:val="30"/>
          <w:szCs w:val="30"/>
          <w:highlight w:val="none"/>
        </w:rPr>
        <w:t>招标项目编号：</w:t>
      </w:r>
      <w:r>
        <w:rPr>
          <w:rFonts w:hint="eastAsia" w:ascii="楷体" w:hAnsi="楷体" w:eastAsia="楷体"/>
          <w:b/>
          <w:spacing w:val="-6"/>
          <w:sz w:val="30"/>
          <w:szCs w:val="30"/>
          <w:highlight w:val="none"/>
          <w:lang w:eastAsia="zh-CN"/>
        </w:rPr>
        <w:t>QSZB-F(F)-B23138(GK)</w:t>
      </w:r>
    </w:p>
    <w:p>
      <w:pPr>
        <w:spacing w:line="360" w:lineRule="auto"/>
        <w:rPr>
          <w:rFonts w:ascii="楷体" w:hAnsi="楷体" w:eastAsia="楷体"/>
          <w:b/>
          <w:spacing w:val="-6"/>
          <w:sz w:val="30"/>
          <w:szCs w:val="30"/>
          <w:highlight w:val="none"/>
        </w:rPr>
      </w:pPr>
      <w:r>
        <w:rPr>
          <w:rFonts w:hint="eastAsia" w:ascii="楷体" w:hAnsi="楷体" w:eastAsia="楷体"/>
          <w:b/>
          <w:spacing w:val="-6"/>
          <w:sz w:val="30"/>
          <w:szCs w:val="30"/>
          <w:highlight w:val="none"/>
        </w:rPr>
        <w:t>招标代理机构：浙江求是招标代理有限公司</w:t>
      </w:r>
    </w:p>
    <w:p>
      <w:pPr>
        <w:spacing w:line="360" w:lineRule="auto"/>
        <w:rPr>
          <w:rFonts w:ascii="楷体" w:hAnsi="楷体" w:eastAsia="楷体"/>
          <w:b/>
          <w:sz w:val="21"/>
          <w:szCs w:val="21"/>
          <w:highlight w:val="none"/>
        </w:rPr>
        <w:sectPr>
          <w:headerReference r:id="rId3" w:type="default"/>
          <w:footerReference r:id="rId4" w:type="default"/>
          <w:pgSz w:w="11906" w:h="16838"/>
          <w:pgMar w:top="1247" w:right="1247" w:bottom="1247" w:left="1247" w:header="0" w:footer="850" w:gutter="0"/>
          <w:pgNumType w:start="1"/>
          <w:cols w:space="720" w:num="1"/>
          <w:docGrid w:linePitch="381" w:charSpace="0"/>
        </w:sectPr>
      </w:pPr>
    </w:p>
    <w:p>
      <w:pPr>
        <w:pStyle w:val="32"/>
        <w:spacing w:line="360" w:lineRule="auto"/>
        <w:rPr>
          <w:color w:val="auto"/>
          <w:highlight w:val="none"/>
        </w:rPr>
      </w:pPr>
    </w:p>
    <w:p>
      <w:pPr>
        <w:pStyle w:val="12"/>
        <w:spacing w:beforeLines="0" w:afterLines="0" w:line="360" w:lineRule="auto"/>
        <w:jc w:val="center"/>
        <w:rPr>
          <w:rFonts w:ascii="楷体" w:hAnsi="楷体" w:eastAsia="楷体"/>
          <w:b/>
          <w:sz w:val="30"/>
          <w:szCs w:val="30"/>
          <w:highlight w:val="none"/>
        </w:rPr>
      </w:pPr>
      <w:r>
        <w:rPr>
          <w:rFonts w:ascii="楷体" w:hAnsi="楷体" w:eastAsia="楷体"/>
          <w:b/>
          <w:sz w:val="30"/>
          <w:szCs w:val="30"/>
          <w:highlight w:val="none"/>
        </w:rPr>
        <w:t>目录</w:t>
      </w:r>
    </w:p>
    <w:p>
      <w:pPr>
        <w:pStyle w:val="12"/>
        <w:spacing w:beforeLines="0" w:afterLines="0" w:line="360" w:lineRule="auto"/>
        <w:jc w:val="center"/>
        <w:rPr>
          <w:rFonts w:ascii="楷体" w:hAnsi="楷体" w:eastAsia="楷体"/>
          <w:b/>
          <w:sz w:val="30"/>
          <w:szCs w:val="30"/>
          <w:highlight w:val="none"/>
        </w:rPr>
      </w:pP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招标公告</w:t>
      </w: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招标需求</w:t>
      </w: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投标人须知</w:t>
      </w: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评标办法及评分标准</w:t>
      </w: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拟签订的协议文本</w:t>
      </w: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投标文件格式</w:t>
      </w:r>
    </w:p>
    <w:p>
      <w:pPr>
        <w:pStyle w:val="12"/>
        <w:spacing w:beforeLines="0" w:afterLines="0" w:line="360" w:lineRule="auto"/>
        <w:jc w:val="center"/>
        <w:outlineLvl w:val="0"/>
        <w:rPr>
          <w:rFonts w:hAnsi="宋体"/>
          <w:b/>
          <w:spacing w:val="-6"/>
          <w:sz w:val="32"/>
          <w:szCs w:val="32"/>
          <w:highlight w:val="none"/>
        </w:rPr>
      </w:pPr>
      <w:r>
        <w:rPr>
          <w:rFonts w:hAnsi="宋体"/>
          <w:sz w:val="21"/>
          <w:szCs w:val="21"/>
          <w:highlight w:val="none"/>
        </w:rPr>
        <w:br w:type="page"/>
      </w:r>
      <w:r>
        <w:rPr>
          <w:rFonts w:hAnsi="宋体"/>
          <w:b/>
          <w:spacing w:val="-6"/>
          <w:sz w:val="32"/>
          <w:szCs w:val="32"/>
          <w:highlight w:val="none"/>
        </w:rPr>
        <w:t>第一章  招标公告</w:t>
      </w:r>
    </w:p>
    <w:p>
      <w:pPr>
        <w:spacing w:line="360" w:lineRule="auto"/>
        <w:ind w:firstLine="396" w:firstLineChars="200"/>
        <w:rPr>
          <w:rFonts w:ascii="宋体" w:hAnsi="宋体"/>
          <w:spacing w:val="-6"/>
          <w:kern w:val="0"/>
          <w:sz w:val="21"/>
          <w:szCs w:val="21"/>
          <w:highlight w:val="none"/>
        </w:rPr>
      </w:pPr>
      <w:r>
        <w:rPr>
          <w:rFonts w:hint="eastAsia" w:ascii="宋体" w:hAnsi="宋体"/>
          <w:spacing w:val="-6"/>
          <w:kern w:val="0"/>
          <w:sz w:val="21"/>
          <w:szCs w:val="21"/>
          <w:highlight w:val="none"/>
        </w:rPr>
        <w:t>根据《关于防止领导干部在公款存放方面发生利益冲突和利益输送的办法》（浙委办发〔2015〕8号)、《浙江省省级行政事业单位公款竞争性存放管理办法》</w:t>
      </w:r>
      <w:r>
        <w:rPr>
          <w:rFonts w:hint="eastAsia" w:asciiTheme="minorEastAsia" w:hAnsiTheme="minorEastAsia" w:eastAsiaTheme="minorEastAsia"/>
          <w:sz w:val="21"/>
          <w:szCs w:val="21"/>
          <w:highlight w:val="none"/>
        </w:rPr>
        <w:t>（浙财预执〔2021〕7号）</w:t>
      </w:r>
      <w:r>
        <w:rPr>
          <w:rFonts w:hint="eastAsia" w:ascii="宋体" w:hAnsi="宋体"/>
          <w:spacing w:val="-6"/>
          <w:kern w:val="0"/>
          <w:sz w:val="21"/>
          <w:szCs w:val="21"/>
          <w:highlight w:val="none"/>
        </w:rPr>
        <w:t>、《浙江省财政厅关于统一提供2022年度省级行政事业单位公款竞争性存放共性指标有关事项的函》（浙财函</w:t>
      </w:r>
      <w:r>
        <w:rPr>
          <w:rFonts w:hint="eastAsia" w:ascii="宋体" w:hAnsi="宋体"/>
          <w:spacing w:val="-6"/>
          <w:kern w:val="0"/>
          <w:sz w:val="21"/>
          <w:szCs w:val="21"/>
          <w:highlight w:val="none"/>
          <w:lang w:val="en-US" w:eastAsia="zh-CN"/>
        </w:rPr>
        <w:t>[</w:t>
      </w:r>
      <w:r>
        <w:rPr>
          <w:rFonts w:hint="eastAsia" w:ascii="宋体" w:hAnsi="宋体"/>
          <w:spacing w:val="-6"/>
          <w:kern w:val="0"/>
          <w:sz w:val="21"/>
          <w:szCs w:val="21"/>
          <w:highlight w:val="none"/>
        </w:rPr>
        <w:t>2022</w:t>
      </w:r>
      <w:r>
        <w:rPr>
          <w:rFonts w:hint="eastAsia" w:ascii="宋体" w:hAnsi="宋体"/>
          <w:spacing w:val="-6"/>
          <w:kern w:val="0"/>
          <w:sz w:val="21"/>
          <w:szCs w:val="21"/>
          <w:highlight w:val="none"/>
          <w:lang w:val="en-US" w:eastAsia="zh-CN"/>
        </w:rPr>
        <w:t>]</w:t>
      </w:r>
      <w:r>
        <w:rPr>
          <w:rFonts w:hint="eastAsia" w:ascii="宋体" w:hAnsi="宋体"/>
          <w:spacing w:val="-6"/>
          <w:kern w:val="0"/>
          <w:sz w:val="21"/>
          <w:szCs w:val="21"/>
          <w:highlight w:val="none"/>
        </w:rPr>
        <w:t>118号）规定，决定就</w:t>
      </w:r>
      <w:r>
        <w:rPr>
          <w:rFonts w:hint="eastAsia" w:ascii="宋体" w:hAnsi="宋体"/>
          <w:spacing w:val="-6"/>
          <w:kern w:val="0"/>
          <w:sz w:val="21"/>
          <w:szCs w:val="21"/>
          <w:highlight w:val="none"/>
          <w:lang w:eastAsia="zh-CN"/>
        </w:rPr>
        <w:t>浙江金融职业学院2023年第一期公款竞争性存放</w:t>
      </w:r>
      <w:r>
        <w:rPr>
          <w:rFonts w:hint="eastAsia" w:ascii="宋体" w:hAnsi="宋体"/>
          <w:spacing w:val="-6"/>
          <w:kern w:val="0"/>
          <w:sz w:val="21"/>
          <w:szCs w:val="21"/>
          <w:highlight w:val="none"/>
        </w:rPr>
        <w:t>开展招标工作，欢迎符合条件的银行机构参加投标。</w:t>
      </w:r>
    </w:p>
    <w:p>
      <w:pPr>
        <w:spacing w:line="360" w:lineRule="auto"/>
        <w:rPr>
          <w:rFonts w:hint="eastAsia" w:ascii="宋体" w:hAnsi="宋体" w:eastAsia="宋体" w:cs="Arial"/>
          <w:b/>
          <w:spacing w:val="-6"/>
          <w:sz w:val="24"/>
          <w:highlight w:val="none"/>
          <w:lang w:eastAsia="zh-CN"/>
        </w:rPr>
      </w:pPr>
      <w:r>
        <w:rPr>
          <w:rFonts w:hint="eastAsia" w:ascii="宋体" w:hAnsi="宋体" w:cs="Arial"/>
          <w:b/>
          <w:spacing w:val="-6"/>
          <w:sz w:val="24"/>
          <w:highlight w:val="none"/>
        </w:rPr>
        <w:t>一、招标项目名称：</w:t>
      </w:r>
      <w:r>
        <w:rPr>
          <w:rFonts w:hint="eastAsia" w:ascii="宋体" w:hAnsi="宋体"/>
          <w:spacing w:val="-6"/>
          <w:kern w:val="0"/>
          <w:sz w:val="21"/>
          <w:szCs w:val="21"/>
          <w:highlight w:val="none"/>
          <w:lang w:eastAsia="zh-CN"/>
        </w:rPr>
        <w:t>浙江金融职业学院</w:t>
      </w:r>
      <w:r>
        <w:rPr>
          <w:rFonts w:hint="eastAsia" w:ascii="宋体" w:hAnsi="宋体" w:cs="Arial"/>
          <w:spacing w:val="-6"/>
          <w:sz w:val="21"/>
          <w:szCs w:val="21"/>
          <w:highlight w:val="none"/>
          <w:lang w:eastAsia="zh-CN"/>
        </w:rPr>
        <w:t>2023年第一期公款竞争性存放</w:t>
      </w:r>
    </w:p>
    <w:p>
      <w:pPr>
        <w:spacing w:line="360" w:lineRule="auto"/>
        <w:rPr>
          <w:rFonts w:ascii="宋体" w:hAnsi="宋体"/>
          <w:spacing w:val="-6"/>
          <w:kern w:val="0"/>
          <w:sz w:val="21"/>
          <w:szCs w:val="21"/>
          <w:highlight w:val="none"/>
        </w:rPr>
      </w:pPr>
      <w:r>
        <w:rPr>
          <w:rFonts w:hint="eastAsia" w:ascii="宋体" w:hAnsi="宋体" w:cs="Arial"/>
          <w:b/>
          <w:spacing w:val="-6"/>
          <w:sz w:val="24"/>
          <w:highlight w:val="none"/>
        </w:rPr>
        <w:t>二</w:t>
      </w:r>
      <w:r>
        <w:rPr>
          <w:rFonts w:ascii="宋体" w:hAnsi="宋体" w:cs="Arial"/>
          <w:b/>
          <w:spacing w:val="-6"/>
          <w:sz w:val="24"/>
          <w:highlight w:val="none"/>
        </w:rPr>
        <w:t>、</w:t>
      </w:r>
      <w:r>
        <w:rPr>
          <w:rFonts w:hint="eastAsia" w:ascii="宋体" w:hAnsi="宋体" w:cs="Arial"/>
          <w:b/>
          <w:bCs/>
          <w:spacing w:val="-6"/>
          <w:sz w:val="24"/>
          <w:highlight w:val="none"/>
        </w:rPr>
        <w:t>招标项目编号：</w:t>
      </w:r>
      <w:r>
        <w:rPr>
          <w:rFonts w:hint="eastAsia" w:ascii="宋体" w:hAnsi="宋体"/>
          <w:spacing w:val="-6"/>
          <w:kern w:val="0"/>
          <w:sz w:val="21"/>
          <w:szCs w:val="21"/>
          <w:highlight w:val="none"/>
          <w:lang w:eastAsia="zh-CN"/>
        </w:rPr>
        <w:t>QSZB-F(F)-B23138(GK)</w:t>
      </w:r>
    </w:p>
    <w:p>
      <w:pPr>
        <w:spacing w:line="360" w:lineRule="auto"/>
        <w:rPr>
          <w:rFonts w:ascii="宋体" w:hAnsi="宋体" w:cs="Arial"/>
          <w:b/>
          <w:spacing w:val="-6"/>
          <w:sz w:val="24"/>
          <w:highlight w:val="none"/>
        </w:rPr>
      </w:pPr>
      <w:r>
        <w:rPr>
          <w:rFonts w:hint="eastAsia" w:ascii="宋体" w:hAnsi="宋体" w:cs="Arial"/>
          <w:b/>
          <w:spacing w:val="-6"/>
          <w:sz w:val="24"/>
          <w:highlight w:val="none"/>
        </w:rPr>
        <w:t>三、招标项目内容：</w:t>
      </w:r>
    </w:p>
    <w:p>
      <w:pPr>
        <w:spacing w:line="360" w:lineRule="auto"/>
        <w:ind w:firstLine="396" w:firstLineChars="200"/>
        <w:rPr>
          <w:rFonts w:ascii="宋体" w:hAnsi="宋体"/>
          <w:spacing w:val="-6"/>
          <w:kern w:val="0"/>
          <w:sz w:val="21"/>
          <w:szCs w:val="21"/>
          <w:highlight w:val="none"/>
        </w:rPr>
      </w:pPr>
      <w:r>
        <w:rPr>
          <w:rFonts w:hint="eastAsia" w:ascii="宋体" w:hAnsi="宋体"/>
          <w:spacing w:val="-6"/>
          <w:kern w:val="0"/>
          <w:sz w:val="21"/>
          <w:szCs w:val="21"/>
          <w:highlight w:val="none"/>
        </w:rPr>
        <w:t>（一）公款总额度：</w:t>
      </w:r>
      <w:r>
        <w:rPr>
          <w:rFonts w:hint="eastAsia" w:ascii="宋体" w:hAnsi="宋体"/>
          <w:spacing w:val="-6"/>
          <w:kern w:val="0"/>
          <w:sz w:val="21"/>
          <w:szCs w:val="21"/>
          <w:highlight w:val="none"/>
          <w:lang w:eastAsia="zh-CN"/>
        </w:rPr>
        <w:t>浙江金融职业学院</w:t>
      </w:r>
      <w:r>
        <w:rPr>
          <w:rFonts w:hint="eastAsia" w:ascii="宋体" w:hAnsi="宋体"/>
          <w:spacing w:val="-6"/>
          <w:kern w:val="0"/>
          <w:sz w:val="21"/>
          <w:szCs w:val="21"/>
          <w:highlight w:val="none"/>
        </w:rPr>
        <w:t>定期存款</w:t>
      </w:r>
      <w:r>
        <w:rPr>
          <w:rFonts w:hint="eastAsia" w:ascii="宋体" w:hAnsi="宋体"/>
          <w:spacing w:val="-6"/>
          <w:kern w:val="0"/>
          <w:sz w:val="21"/>
          <w:szCs w:val="21"/>
          <w:highlight w:val="none"/>
          <w:lang w:val="en-US" w:eastAsia="zh-CN"/>
        </w:rPr>
        <w:t>23000</w:t>
      </w:r>
      <w:r>
        <w:rPr>
          <w:rFonts w:hint="eastAsia" w:ascii="宋体" w:hAnsi="宋体"/>
          <w:spacing w:val="-6"/>
          <w:kern w:val="0"/>
          <w:sz w:val="21"/>
          <w:szCs w:val="21"/>
          <w:highlight w:val="none"/>
        </w:rPr>
        <w:t>万元。</w:t>
      </w:r>
    </w:p>
    <w:p>
      <w:pPr>
        <w:spacing w:line="360" w:lineRule="auto"/>
        <w:ind w:firstLine="396" w:firstLineChars="200"/>
        <w:rPr>
          <w:rFonts w:ascii="宋体" w:hAnsi="宋体"/>
          <w:spacing w:val="-6"/>
          <w:kern w:val="0"/>
          <w:sz w:val="21"/>
          <w:szCs w:val="21"/>
          <w:highlight w:val="none"/>
        </w:rPr>
      </w:pPr>
      <w:r>
        <w:rPr>
          <w:rFonts w:hint="eastAsia" w:ascii="宋体" w:hAnsi="宋体"/>
          <w:spacing w:val="-6"/>
          <w:kern w:val="0"/>
          <w:sz w:val="21"/>
          <w:szCs w:val="21"/>
          <w:highlight w:val="none"/>
        </w:rPr>
        <w:t>（二）存款期限为一年定期存款。</w:t>
      </w:r>
    </w:p>
    <w:p>
      <w:pPr>
        <w:spacing w:line="360" w:lineRule="auto"/>
        <w:ind w:firstLine="396" w:firstLineChars="200"/>
        <w:rPr>
          <w:rFonts w:hint="default" w:ascii="宋体" w:hAnsi="宋体" w:eastAsiaTheme="minorEastAsia"/>
          <w:color w:val="auto"/>
          <w:spacing w:val="-6"/>
          <w:kern w:val="0"/>
          <w:sz w:val="21"/>
          <w:szCs w:val="21"/>
          <w:highlight w:val="none"/>
          <w:lang w:val="en-US" w:eastAsia="zh-CN"/>
        </w:rPr>
      </w:pPr>
      <w:r>
        <w:rPr>
          <w:rFonts w:hint="eastAsia" w:ascii="宋体" w:hAnsi="宋体"/>
          <w:spacing w:val="-6"/>
          <w:kern w:val="0"/>
          <w:sz w:val="21"/>
          <w:szCs w:val="21"/>
          <w:highlight w:val="none"/>
        </w:rPr>
        <w:t>（三）</w:t>
      </w:r>
      <w:r>
        <w:rPr>
          <w:rFonts w:hint="eastAsia" w:ascii="宋体" w:hAnsi="宋体"/>
          <w:spacing w:val="-6"/>
          <w:kern w:val="0"/>
          <w:sz w:val="21"/>
          <w:szCs w:val="21"/>
          <w:highlight w:val="none"/>
          <w:lang w:eastAsia="zh-CN"/>
        </w:rPr>
        <w:t>浙江金融职业学院</w:t>
      </w:r>
      <w:r>
        <w:rPr>
          <w:rFonts w:hint="eastAsia" w:ascii="宋体" w:hAnsi="宋体"/>
          <w:spacing w:val="-6"/>
          <w:kern w:val="0"/>
          <w:sz w:val="21"/>
          <w:szCs w:val="21"/>
          <w:highlight w:val="none"/>
        </w:rPr>
        <w:t>选定</w:t>
      </w:r>
      <w:r>
        <w:rPr>
          <w:rFonts w:hint="eastAsia" w:ascii="宋体" w:hAnsi="宋体"/>
          <w:spacing w:val="-6"/>
          <w:kern w:val="0"/>
          <w:sz w:val="21"/>
          <w:szCs w:val="21"/>
          <w:highlight w:val="none"/>
          <w:lang w:val="en-US" w:eastAsia="zh-CN"/>
        </w:rPr>
        <w:t>7</w:t>
      </w:r>
      <w:r>
        <w:rPr>
          <w:rFonts w:hint="eastAsia" w:ascii="宋体" w:hAnsi="宋体"/>
          <w:spacing w:val="-6"/>
          <w:kern w:val="0"/>
          <w:sz w:val="21"/>
          <w:szCs w:val="21"/>
          <w:highlight w:val="none"/>
        </w:rPr>
        <w:t>家银行机构定期存放公款，按照本次招标结果排名顺序选择七家银行进行资金存放。其中：第一名、第二名存放金额为</w:t>
      </w:r>
      <w:r>
        <w:rPr>
          <w:rFonts w:hint="eastAsia" w:ascii="宋体" w:hAnsi="宋体"/>
          <w:spacing w:val="-6"/>
          <w:kern w:val="0"/>
          <w:sz w:val="21"/>
          <w:szCs w:val="21"/>
          <w:highlight w:val="none"/>
          <w:lang w:val="en-US" w:eastAsia="zh-CN"/>
        </w:rPr>
        <w:t>5000</w:t>
      </w:r>
      <w:r>
        <w:rPr>
          <w:rFonts w:hint="eastAsia" w:ascii="宋体" w:hAnsi="宋体"/>
          <w:spacing w:val="-6"/>
          <w:kern w:val="0"/>
          <w:sz w:val="21"/>
          <w:szCs w:val="21"/>
          <w:highlight w:val="none"/>
        </w:rPr>
        <w:t>万元；第三名、第四名、第五名存放金额为3000万元；第六名2500</w:t>
      </w:r>
      <w:r>
        <w:rPr>
          <w:rFonts w:hint="eastAsia" w:ascii="宋体" w:hAnsi="宋体"/>
          <w:color w:val="auto"/>
          <w:spacing w:val="-6"/>
          <w:kern w:val="0"/>
          <w:sz w:val="21"/>
          <w:szCs w:val="21"/>
          <w:highlight w:val="none"/>
        </w:rPr>
        <w:t>万元；第七名</w:t>
      </w:r>
      <w:r>
        <w:rPr>
          <w:rFonts w:hint="eastAsia" w:ascii="宋体" w:hAnsi="宋体"/>
          <w:color w:val="auto"/>
          <w:spacing w:val="-6"/>
          <w:kern w:val="0"/>
          <w:sz w:val="21"/>
          <w:szCs w:val="21"/>
          <w:highlight w:val="none"/>
          <w:lang w:val="en-US" w:eastAsia="zh-CN"/>
        </w:rPr>
        <w:t>15</w:t>
      </w:r>
      <w:r>
        <w:rPr>
          <w:rFonts w:hint="eastAsia" w:ascii="宋体" w:hAnsi="宋体"/>
          <w:color w:val="auto"/>
          <w:spacing w:val="-6"/>
          <w:kern w:val="0"/>
          <w:sz w:val="21"/>
          <w:szCs w:val="21"/>
          <w:highlight w:val="none"/>
        </w:rPr>
        <w:t>00万元。浙江金融职业学院存款存放顺序根据学院资金情况，先存放到第1名，第1名存放金额完成后再存放到第2名，以此类推，足额存放七家银行。浙江金融职业学院存款使用顺序根据学院资金情况，先从第7名开始提取，第7名提取完所有金额后再从第6名开始提取，以此类推。</w:t>
      </w:r>
    </w:p>
    <w:p>
      <w:pPr>
        <w:spacing w:line="360" w:lineRule="auto"/>
        <w:ind w:firstLine="396" w:firstLineChars="200"/>
        <w:rPr>
          <w:rFonts w:ascii="宋体" w:hAnsi="宋体"/>
          <w:color w:val="auto"/>
          <w:spacing w:val="-6"/>
          <w:kern w:val="0"/>
          <w:sz w:val="21"/>
          <w:szCs w:val="21"/>
          <w:highlight w:val="none"/>
        </w:rPr>
      </w:pPr>
      <w:r>
        <w:rPr>
          <w:rFonts w:hint="eastAsia" w:ascii="宋体" w:hAnsi="宋体"/>
          <w:color w:val="auto"/>
          <w:spacing w:val="-6"/>
          <w:kern w:val="0"/>
          <w:sz w:val="21"/>
          <w:szCs w:val="21"/>
          <w:highlight w:val="none"/>
        </w:rPr>
        <w:t>（四）本次招标定期存款到期后可以续存原中标银行，对中标银行进行评估但须经单位领导班子集体研究决定，利率符合国家政策要求，且续存利率不低于省级行政事业单位在“浙江政府采购网”上公布的同类银行最近同期限中标利率，对评估合格的银行可续签一年。</w:t>
      </w:r>
    </w:p>
    <w:p>
      <w:pPr>
        <w:spacing w:line="360" w:lineRule="auto"/>
        <w:ind w:firstLine="396" w:firstLineChars="200"/>
        <w:rPr>
          <w:rFonts w:ascii="宋体" w:hAnsi="宋体"/>
          <w:color w:val="auto"/>
          <w:spacing w:val="-6"/>
          <w:kern w:val="0"/>
          <w:sz w:val="21"/>
          <w:szCs w:val="21"/>
          <w:highlight w:val="none"/>
        </w:rPr>
      </w:pPr>
      <w:r>
        <w:rPr>
          <w:rFonts w:hint="eastAsia" w:ascii="宋体" w:hAnsi="宋体"/>
          <w:color w:val="auto"/>
          <w:spacing w:val="-6"/>
          <w:kern w:val="0"/>
          <w:sz w:val="21"/>
          <w:szCs w:val="21"/>
          <w:highlight w:val="none"/>
        </w:rPr>
        <w:t>（五）本项目招标有效期两年。</w:t>
      </w:r>
    </w:p>
    <w:p>
      <w:pPr>
        <w:spacing w:line="360" w:lineRule="auto"/>
        <w:rPr>
          <w:rFonts w:ascii="宋体" w:hAnsi="宋体" w:cs="Arial"/>
          <w:b/>
          <w:bCs/>
          <w:color w:val="auto"/>
          <w:spacing w:val="-6"/>
          <w:sz w:val="24"/>
          <w:highlight w:val="none"/>
        </w:rPr>
      </w:pPr>
      <w:r>
        <w:rPr>
          <w:rFonts w:hint="eastAsia" w:ascii="宋体" w:hAnsi="宋体" w:cs="Arial"/>
          <w:b/>
          <w:color w:val="auto"/>
          <w:spacing w:val="-6"/>
          <w:sz w:val="24"/>
          <w:highlight w:val="none"/>
        </w:rPr>
        <w:t>四</w:t>
      </w:r>
      <w:r>
        <w:rPr>
          <w:rFonts w:hint="eastAsia" w:ascii="宋体" w:hAnsi="宋体" w:cs="Arial"/>
          <w:color w:val="auto"/>
          <w:spacing w:val="-6"/>
          <w:sz w:val="24"/>
          <w:highlight w:val="none"/>
        </w:rPr>
        <w:t>、</w:t>
      </w:r>
      <w:r>
        <w:rPr>
          <w:rFonts w:hint="eastAsia" w:ascii="宋体" w:hAnsi="宋体" w:cs="Arial"/>
          <w:b/>
          <w:bCs/>
          <w:color w:val="auto"/>
          <w:spacing w:val="-6"/>
          <w:sz w:val="24"/>
          <w:highlight w:val="none"/>
        </w:rPr>
        <w:t>投标人资格要求：</w:t>
      </w:r>
    </w:p>
    <w:p>
      <w:pPr>
        <w:spacing w:line="360" w:lineRule="auto"/>
        <w:ind w:firstLine="396" w:firstLineChars="200"/>
        <w:rPr>
          <w:rFonts w:ascii="宋体" w:hAnsi="宋体" w:cs="Arial"/>
          <w:spacing w:val="-6"/>
          <w:sz w:val="21"/>
          <w:szCs w:val="21"/>
          <w:highlight w:val="none"/>
        </w:rPr>
      </w:pPr>
      <w:r>
        <w:rPr>
          <w:rFonts w:hint="eastAsia" w:ascii="宋体" w:hAnsi="宋体" w:cs="Arial"/>
          <w:spacing w:val="-6"/>
          <w:sz w:val="21"/>
          <w:szCs w:val="21"/>
          <w:highlight w:val="none"/>
        </w:rPr>
        <w:t>参与省级行政事业单位公款竞争性存放的银行是指在中华人民共和国境内依法设立的商业银行、农村信用合作联社等银行业金融机构。银行参与投标应符合以下条件：</w:t>
      </w:r>
    </w:p>
    <w:p>
      <w:pPr>
        <w:spacing w:line="360" w:lineRule="auto"/>
        <w:ind w:firstLine="396" w:firstLineChars="200"/>
        <w:rPr>
          <w:rFonts w:ascii="宋体" w:hAnsi="宋体" w:cs="Arial"/>
          <w:spacing w:val="-6"/>
          <w:sz w:val="21"/>
          <w:szCs w:val="21"/>
          <w:highlight w:val="none"/>
        </w:rPr>
      </w:pPr>
      <w:r>
        <w:rPr>
          <w:rFonts w:hint="eastAsia" w:ascii="宋体" w:hAnsi="宋体" w:cs="Arial"/>
          <w:spacing w:val="-6"/>
          <w:sz w:val="21"/>
          <w:szCs w:val="21"/>
          <w:highlight w:val="none"/>
        </w:rPr>
        <w:t>（一）在杭州市区设有分支机构；</w:t>
      </w:r>
    </w:p>
    <w:p>
      <w:pPr>
        <w:spacing w:line="360" w:lineRule="auto"/>
        <w:ind w:firstLine="396" w:firstLineChars="200"/>
        <w:rPr>
          <w:rFonts w:ascii="宋体" w:hAnsi="宋体" w:cs="Arial"/>
          <w:spacing w:val="-6"/>
          <w:sz w:val="21"/>
          <w:szCs w:val="21"/>
          <w:highlight w:val="none"/>
        </w:rPr>
      </w:pPr>
      <w:r>
        <w:rPr>
          <w:rFonts w:hint="eastAsia" w:ascii="宋体" w:hAnsi="宋体" w:cs="Arial"/>
          <w:spacing w:val="-6"/>
          <w:sz w:val="21"/>
          <w:szCs w:val="21"/>
          <w:highlight w:val="none"/>
        </w:rPr>
        <w:t>（二）依法开展经营活动，近3年内在经营活动中无重大违法违规记录及重大违约事件；</w:t>
      </w:r>
    </w:p>
    <w:p>
      <w:pPr>
        <w:spacing w:line="360" w:lineRule="auto"/>
        <w:ind w:firstLine="396" w:firstLineChars="200"/>
        <w:rPr>
          <w:rFonts w:ascii="宋体" w:hAnsi="宋体" w:cs="Arial"/>
          <w:spacing w:val="-6"/>
          <w:sz w:val="21"/>
          <w:szCs w:val="21"/>
          <w:highlight w:val="none"/>
        </w:rPr>
      </w:pPr>
      <w:r>
        <w:rPr>
          <w:rFonts w:hint="eastAsia" w:ascii="宋体" w:hAnsi="宋体" w:cs="Arial"/>
          <w:spacing w:val="-6"/>
          <w:sz w:val="21"/>
          <w:szCs w:val="21"/>
          <w:highlight w:val="none"/>
        </w:rPr>
        <w:t>（三）纳入人民银行综合评价的银行，人民银行上年度综合评价应达到B级及以上，不纳入人民银行综合评价范围的银行不受此限制。</w:t>
      </w:r>
    </w:p>
    <w:p>
      <w:pPr>
        <w:spacing w:line="360" w:lineRule="auto"/>
        <w:ind w:firstLine="396" w:firstLineChars="200"/>
        <w:rPr>
          <w:rFonts w:ascii="宋体" w:hAnsi="宋体" w:cs="Arial"/>
          <w:spacing w:val="-6"/>
          <w:sz w:val="21"/>
          <w:szCs w:val="21"/>
          <w:highlight w:val="none"/>
        </w:rPr>
      </w:pPr>
      <w:r>
        <w:rPr>
          <w:rFonts w:hint="eastAsia" w:ascii="宋体" w:hAnsi="宋体" w:cs="Arial"/>
          <w:spacing w:val="-6"/>
          <w:sz w:val="21"/>
          <w:szCs w:val="21"/>
          <w:highlight w:val="none"/>
        </w:rPr>
        <w:t>（四）每家银行只能有一个主体参与投标，允许以省分行或者省分行授权支行为投标主体。省内农村商业银行、农村信用合作联社参与省级行政事业单位公款竞争性存放，可统一以浙江农商联合银行为投标主体。</w:t>
      </w:r>
    </w:p>
    <w:p>
      <w:pPr>
        <w:spacing w:line="360" w:lineRule="auto"/>
        <w:rPr>
          <w:rFonts w:ascii="宋体" w:hAnsi="宋体" w:cs="Arial"/>
          <w:b/>
          <w:bCs/>
          <w:spacing w:val="-6"/>
          <w:sz w:val="24"/>
          <w:highlight w:val="none"/>
        </w:rPr>
      </w:pPr>
      <w:r>
        <w:rPr>
          <w:rFonts w:hint="eastAsia" w:ascii="宋体" w:hAnsi="宋体" w:cs="Arial"/>
          <w:b/>
          <w:bCs/>
          <w:spacing w:val="-6"/>
          <w:sz w:val="24"/>
          <w:highlight w:val="none"/>
        </w:rPr>
        <w:t>五、招标文件获取时间、方式及地址：</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（一）时间：</w:t>
      </w:r>
      <w:r>
        <w:rPr>
          <w:rFonts w:hint="eastAsia" w:ascii="宋体" w:hAnsi="宋体"/>
          <w:spacing w:val="-6"/>
          <w:sz w:val="21"/>
          <w:szCs w:val="21"/>
          <w:highlight w:val="none"/>
          <w:lang w:eastAsia="zh-CN"/>
        </w:rPr>
        <w:t>2023年</w:t>
      </w:r>
      <w:r>
        <w:rPr>
          <w:rFonts w:hint="eastAsia" w:ascii="宋体" w:hAnsi="宋体"/>
          <w:spacing w:val="-6"/>
          <w:sz w:val="21"/>
          <w:szCs w:val="21"/>
          <w:highlight w:val="none"/>
          <w:lang w:val="en-US" w:eastAsia="zh-CN"/>
        </w:rPr>
        <w:t>6</w:t>
      </w:r>
      <w:r>
        <w:rPr>
          <w:rFonts w:hint="eastAsia" w:ascii="宋体" w:hAnsi="宋体"/>
          <w:spacing w:val="-6"/>
          <w:sz w:val="21"/>
          <w:szCs w:val="21"/>
          <w:highlight w:val="none"/>
          <w:lang w:eastAsia="zh-CN"/>
        </w:rPr>
        <w:t>月</w:t>
      </w:r>
      <w:r>
        <w:rPr>
          <w:rFonts w:hint="eastAsia" w:ascii="宋体" w:hAnsi="宋体"/>
          <w:spacing w:val="-6"/>
          <w:sz w:val="21"/>
          <w:szCs w:val="21"/>
          <w:highlight w:val="none"/>
          <w:lang w:val="en-US" w:eastAsia="zh-CN"/>
        </w:rPr>
        <w:t>29</w:t>
      </w:r>
      <w:r>
        <w:rPr>
          <w:rFonts w:hint="eastAsia" w:ascii="宋体" w:hAnsi="宋体"/>
          <w:spacing w:val="-6"/>
          <w:sz w:val="21"/>
          <w:szCs w:val="21"/>
          <w:highlight w:val="none"/>
          <w:lang w:eastAsia="zh-CN"/>
        </w:rPr>
        <w:t>日</w:t>
      </w:r>
      <w:r>
        <w:rPr>
          <w:rFonts w:hint="eastAsia" w:ascii="宋体" w:hAnsi="宋体"/>
          <w:spacing w:val="-6"/>
          <w:sz w:val="21"/>
          <w:szCs w:val="21"/>
          <w:highlight w:val="none"/>
        </w:rPr>
        <w:t>至</w:t>
      </w:r>
      <w:r>
        <w:rPr>
          <w:rFonts w:hint="eastAsia" w:ascii="宋体" w:hAnsi="宋体"/>
          <w:spacing w:val="-6"/>
          <w:sz w:val="21"/>
          <w:szCs w:val="21"/>
          <w:highlight w:val="none"/>
          <w:lang w:eastAsia="zh-CN"/>
        </w:rPr>
        <w:t>2023年</w:t>
      </w:r>
      <w:r>
        <w:rPr>
          <w:rFonts w:hint="eastAsia" w:ascii="宋体" w:hAnsi="宋体"/>
          <w:spacing w:val="-6"/>
          <w:sz w:val="21"/>
          <w:szCs w:val="21"/>
          <w:highlight w:val="none"/>
          <w:lang w:val="en-US" w:eastAsia="zh-CN"/>
        </w:rPr>
        <w:t>7</w:t>
      </w:r>
      <w:r>
        <w:rPr>
          <w:rFonts w:hint="eastAsia" w:ascii="宋体" w:hAnsi="宋体"/>
          <w:spacing w:val="-6"/>
          <w:sz w:val="21"/>
          <w:szCs w:val="21"/>
          <w:highlight w:val="none"/>
          <w:lang w:eastAsia="zh-CN"/>
        </w:rPr>
        <w:t>月</w:t>
      </w:r>
      <w:r>
        <w:rPr>
          <w:rFonts w:hint="eastAsia" w:ascii="宋体" w:hAnsi="宋体"/>
          <w:spacing w:val="-6"/>
          <w:sz w:val="21"/>
          <w:szCs w:val="21"/>
          <w:highlight w:val="none"/>
          <w:lang w:val="en-US" w:eastAsia="zh-CN"/>
        </w:rPr>
        <w:t>10</w:t>
      </w:r>
      <w:r>
        <w:rPr>
          <w:rFonts w:hint="eastAsia" w:ascii="宋体" w:hAnsi="宋体"/>
          <w:spacing w:val="-6"/>
          <w:sz w:val="21"/>
          <w:szCs w:val="21"/>
          <w:highlight w:val="none"/>
          <w:lang w:eastAsia="zh-CN"/>
        </w:rPr>
        <w:t>日</w:t>
      </w:r>
      <w:r>
        <w:rPr>
          <w:rFonts w:hint="eastAsia" w:ascii="宋体" w:hAnsi="宋体"/>
          <w:spacing w:val="-6"/>
          <w:sz w:val="21"/>
          <w:szCs w:val="21"/>
          <w:highlight w:val="none"/>
        </w:rPr>
        <w:t>下午17:00（双休日及法定节假日除外）</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（三）报名方式：本项目实行</w:t>
      </w:r>
      <w:bookmarkStart w:id="2" w:name="_GoBack"/>
      <w:bookmarkEnd w:id="2"/>
      <w:r>
        <w:rPr>
          <w:rFonts w:hint="eastAsia" w:ascii="宋体" w:hAnsi="宋体"/>
          <w:spacing w:val="-6"/>
          <w:sz w:val="21"/>
          <w:szCs w:val="21"/>
          <w:highlight w:val="none"/>
        </w:rPr>
        <w:t>网上报名，不接受现场报名。报名银行须登录政府采购云平台（https://www.zcygov.cn），进入“公款竞争性存放”模块，在“竞标项目”选择本项目按规定进行报名。报名成功后在线下载招标文件。（本次采购不提供纸质版采购文件）</w:t>
      </w:r>
    </w:p>
    <w:p>
      <w:pPr>
        <w:spacing w:line="360" w:lineRule="auto"/>
        <w:ind w:firstLine="396" w:firstLineChars="200"/>
        <w:rPr>
          <w:rFonts w:ascii="宋体" w:hAnsi="宋体"/>
          <w:color w:val="auto"/>
          <w:spacing w:val="-6"/>
          <w:sz w:val="21"/>
          <w:szCs w:val="21"/>
          <w:highlight w:val="none"/>
        </w:rPr>
      </w:pPr>
      <w:r>
        <w:rPr>
          <w:rFonts w:hint="eastAsia" w:ascii="宋体" w:hAnsi="宋体"/>
          <w:spacing w:val="-6"/>
          <w:sz w:val="21"/>
          <w:szCs w:val="21"/>
          <w:highlight w:val="none"/>
        </w:rPr>
        <w:t>（三）</w:t>
      </w:r>
      <w:r>
        <w:rPr>
          <w:rFonts w:ascii="宋体" w:hAnsi="宋体"/>
          <w:spacing w:val="-6"/>
          <w:sz w:val="21"/>
          <w:szCs w:val="21"/>
          <w:highlight w:val="none"/>
        </w:rPr>
        <w:t>标书</w:t>
      </w:r>
      <w:r>
        <w:rPr>
          <w:rFonts w:hint="eastAsia" w:ascii="宋体" w:hAnsi="宋体"/>
          <w:spacing w:val="-6"/>
          <w:sz w:val="21"/>
          <w:szCs w:val="21"/>
          <w:highlight w:val="none"/>
        </w:rPr>
        <w:t>售价</w:t>
      </w:r>
      <w:r>
        <w:rPr>
          <w:rFonts w:ascii="宋体" w:hAnsi="宋体"/>
          <w:spacing w:val="-6"/>
          <w:sz w:val="21"/>
          <w:szCs w:val="21"/>
          <w:highlight w:val="none"/>
        </w:rPr>
        <w:t>：</w:t>
      </w:r>
      <w:r>
        <w:rPr>
          <w:rFonts w:hint="eastAsia" w:ascii="宋体" w:hAnsi="宋体"/>
          <w:spacing w:val="-6"/>
          <w:sz w:val="21"/>
          <w:szCs w:val="21"/>
          <w:highlight w:val="none"/>
        </w:rPr>
        <w:t>免费</w:t>
      </w:r>
    </w:p>
    <w:p>
      <w:pPr>
        <w:spacing w:line="360" w:lineRule="auto"/>
        <w:jc w:val="left"/>
        <w:rPr>
          <w:rFonts w:hint="eastAsia" w:ascii="宋体" w:hAnsi="宋体" w:eastAsia="宋体"/>
          <w:color w:val="auto"/>
          <w:spacing w:val="-6"/>
          <w:sz w:val="21"/>
          <w:szCs w:val="21"/>
          <w:highlight w:val="none"/>
          <w:lang w:eastAsia="zh-CN"/>
        </w:rPr>
      </w:pPr>
      <w:r>
        <w:rPr>
          <w:rFonts w:hint="eastAsia" w:ascii="宋体" w:hAnsi="宋体" w:cs="Arial"/>
          <w:b/>
          <w:color w:val="auto"/>
          <w:spacing w:val="-6"/>
          <w:sz w:val="24"/>
          <w:highlight w:val="none"/>
        </w:rPr>
        <w:t>六、</w:t>
      </w:r>
      <w:r>
        <w:rPr>
          <w:rFonts w:hint="eastAsia" w:ascii="宋体" w:hAnsi="宋体" w:cs="Arial"/>
          <w:b/>
          <w:bCs/>
          <w:color w:val="auto"/>
          <w:spacing w:val="-6"/>
          <w:sz w:val="24"/>
          <w:highlight w:val="none"/>
        </w:rPr>
        <w:t>投标截止时间</w:t>
      </w:r>
      <w:r>
        <w:rPr>
          <w:rFonts w:hint="eastAsia" w:ascii="宋体" w:hAnsi="宋体" w:cs="Arial"/>
          <w:color w:val="auto"/>
          <w:spacing w:val="-6"/>
          <w:sz w:val="24"/>
          <w:highlight w:val="none"/>
        </w:rPr>
        <w:t>：</w:t>
      </w:r>
      <w:r>
        <w:rPr>
          <w:rFonts w:hint="eastAsia" w:ascii="宋体" w:hAnsi="宋体"/>
          <w:color w:val="auto"/>
          <w:spacing w:val="-6"/>
          <w:sz w:val="21"/>
          <w:szCs w:val="21"/>
          <w:highlight w:val="none"/>
          <w:lang w:eastAsia="zh-CN"/>
        </w:rPr>
        <w:t>2023年7月12日上午9:00:00</w:t>
      </w:r>
    </w:p>
    <w:p>
      <w:pPr>
        <w:spacing w:line="360" w:lineRule="auto"/>
        <w:jc w:val="left"/>
        <w:rPr>
          <w:rFonts w:ascii="宋体" w:hAnsi="宋体"/>
          <w:bCs/>
          <w:color w:val="auto"/>
          <w:spacing w:val="-6"/>
          <w:sz w:val="21"/>
          <w:szCs w:val="21"/>
          <w:highlight w:val="none"/>
        </w:rPr>
      </w:pPr>
      <w:r>
        <w:rPr>
          <w:rFonts w:hint="eastAsia" w:ascii="宋体" w:hAnsi="宋体" w:cs="Arial"/>
          <w:b/>
          <w:bCs/>
          <w:color w:val="auto"/>
          <w:spacing w:val="-6"/>
          <w:sz w:val="24"/>
          <w:highlight w:val="none"/>
        </w:rPr>
        <w:t>七、投标文件</w:t>
      </w:r>
      <w:r>
        <w:rPr>
          <w:rFonts w:hint="eastAsia" w:ascii="宋体" w:hAnsi="宋体"/>
          <w:b/>
          <w:color w:val="auto"/>
          <w:sz w:val="24"/>
          <w:highlight w:val="none"/>
        </w:rPr>
        <w:t>提交方式、地点：</w:t>
      </w:r>
      <w:r>
        <w:rPr>
          <w:rFonts w:hint="eastAsia" w:ascii="宋体" w:hAnsi="宋体"/>
          <w:color w:val="auto"/>
          <w:spacing w:val="-6"/>
          <w:sz w:val="21"/>
          <w:szCs w:val="21"/>
          <w:highlight w:val="none"/>
        </w:rPr>
        <w:t>通过政府采购云平台（https://login.zcygov.cn）在线电子投标</w:t>
      </w:r>
      <w:r>
        <w:rPr>
          <w:rFonts w:hint="eastAsia" w:ascii="宋体" w:hAnsi="宋体"/>
          <w:bCs/>
          <w:color w:val="auto"/>
          <w:spacing w:val="-6"/>
          <w:sz w:val="21"/>
          <w:szCs w:val="21"/>
          <w:highlight w:val="none"/>
        </w:rPr>
        <w:t>；</w:t>
      </w:r>
    </w:p>
    <w:p>
      <w:pPr>
        <w:spacing w:line="360" w:lineRule="auto"/>
        <w:jc w:val="left"/>
        <w:rPr>
          <w:rFonts w:ascii="宋体" w:hAnsi="宋体"/>
          <w:bCs/>
          <w:color w:val="auto"/>
          <w:spacing w:val="-6"/>
          <w:sz w:val="21"/>
          <w:szCs w:val="21"/>
          <w:highlight w:val="none"/>
        </w:rPr>
      </w:pPr>
      <w:r>
        <w:rPr>
          <w:rFonts w:hint="eastAsia" w:ascii="宋体" w:hAnsi="宋体"/>
          <w:b/>
          <w:color w:val="auto"/>
          <w:spacing w:val="-6"/>
          <w:sz w:val="21"/>
          <w:szCs w:val="21"/>
          <w:highlight w:val="none"/>
        </w:rPr>
        <w:t>备注：</w:t>
      </w:r>
      <w:r>
        <w:rPr>
          <w:rFonts w:hint="eastAsia" w:ascii="宋体" w:hAnsi="宋体"/>
          <w:bCs/>
          <w:color w:val="auto"/>
          <w:spacing w:val="-6"/>
          <w:sz w:val="21"/>
          <w:szCs w:val="21"/>
          <w:highlight w:val="none"/>
        </w:rPr>
        <w:t>本项目实行在线电子招投标，投标人报名后即可在政采云系统中编制响应文件，在投标截止时间前进行投标。</w:t>
      </w:r>
    </w:p>
    <w:p>
      <w:pPr>
        <w:spacing w:line="360" w:lineRule="auto"/>
        <w:rPr>
          <w:rFonts w:ascii="宋体" w:hAnsi="宋体" w:cs="Arial"/>
          <w:color w:val="auto"/>
          <w:spacing w:val="-6"/>
          <w:sz w:val="24"/>
          <w:highlight w:val="none"/>
        </w:rPr>
      </w:pPr>
      <w:r>
        <w:rPr>
          <w:rFonts w:hint="eastAsia" w:ascii="宋体" w:hAnsi="宋体" w:cs="Arial"/>
          <w:b/>
          <w:bCs/>
          <w:color w:val="auto"/>
          <w:spacing w:val="-6"/>
          <w:sz w:val="24"/>
          <w:highlight w:val="none"/>
        </w:rPr>
        <w:t>八、开标时间及地点</w:t>
      </w:r>
      <w:r>
        <w:rPr>
          <w:rFonts w:hint="eastAsia" w:ascii="宋体" w:hAnsi="宋体" w:cs="Arial"/>
          <w:color w:val="auto"/>
          <w:spacing w:val="-6"/>
          <w:sz w:val="24"/>
          <w:highlight w:val="none"/>
        </w:rPr>
        <w:t>：</w:t>
      </w:r>
    </w:p>
    <w:p>
      <w:pPr>
        <w:spacing w:line="360" w:lineRule="auto"/>
        <w:ind w:firstLine="396" w:firstLineChars="200"/>
        <w:jc w:val="left"/>
        <w:rPr>
          <w:rFonts w:hint="eastAsia" w:ascii="宋体" w:hAnsi="宋体" w:eastAsia="宋体"/>
          <w:color w:val="auto"/>
          <w:spacing w:val="-6"/>
          <w:sz w:val="21"/>
          <w:szCs w:val="21"/>
          <w:highlight w:val="none"/>
          <w:lang w:eastAsia="zh-CN"/>
        </w:rPr>
      </w:pPr>
      <w:r>
        <w:rPr>
          <w:rFonts w:hint="eastAsia" w:ascii="宋体" w:hAnsi="宋体"/>
          <w:color w:val="auto"/>
          <w:spacing w:val="-6"/>
          <w:sz w:val="21"/>
          <w:szCs w:val="21"/>
          <w:highlight w:val="none"/>
        </w:rPr>
        <w:t>时间：</w:t>
      </w:r>
      <w:r>
        <w:rPr>
          <w:rFonts w:hint="eastAsia" w:ascii="宋体" w:hAnsi="宋体"/>
          <w:color w:val="auto"/>
          <w:spacing w:val="-6"/>
          <w:sz w:val="21"/>
          <w:szCs w:val="21"/>
          <w:highlight w:val="none"/>
          <w:lang w:eastAsia="zh-CN"/>
        </w:rPr>
        <w:t>2023年7月12日上午9:00:00</w:t>
      </w:r>
    </w:p>
    <w:p>
      <w:pPr>
        <w:spacing w:line="360" w:lineRule="auto"/>
        <w:ind w:firstLine="396"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地点：通过政府采购云平台（https://login.zcygov.cn）在线开标</w:t>
      </w:r>
      <w:r>
        <w:rPr>
          <w:rFonts w:hint="eastAsia" w:ascii="宋体" w:hAnsi="宋体"/>
          <w:color w:val="auto"/>
          <w:spacing w:val="-6"/>
          <w:sz w:val="21"/>
          <w:szCs w:val="21"/>
          <w:highlight w:val="none"/>
          <w:lang w:val="en-US" w:eastAsia="zh-CN"/>
        </w:rPr>
        <w:t>/</w:t>
      </w:r>
      <w:r>
        <w:rPr>
          <w:rFonts w:hint="eastAsia" w:ascii="宋体" w:hAnsi="宋体"/>
          <w:color w:val="auto"/>
          <w:spacing w:val="-6"/>
          <w:sz w:val="21"/>
          <w:szCs w:val="21"/>
          <w:highlight w:val="none"/>
        </w:rPr>
        <w:t>杭州市西湖区玉古路173号中田大厦</w:t>
      </w:r>
      <w:r>
        <w:rPr>
          <w:rFonts w:hint="eastAsia" w:ascii="宋体" w:hAnsi="宋体"/>
          <w:color w:val="auto"/>
          <w:spacing w:val="-6"/>
          <w:sz w:val="21"/>
          <w:szCs w:val="21"/>
          <w:highlight w:val="none"/>
          <w:lang w:val="en-US" w:eastAsia="zh-CN"/>
        </w:rPr>
        <w:t>16</w:t>
      </w:r>
      <w:r>
        <w:rPr>
          <w:rFonts w:hint="eastAsia" w:ascii="宋体" w:hAnsi="宋体"/>
          <w:color w:val="auto"/>
          <w:spacing w:val="-6"/>
          <w:sz w:val="21"/>
          <w:szCs w:val="21"/>
          <w:highlight w:val="none"/>
        </w:rPr>
        <w:t>楼（求是招标会议室</w:t>
      </w:r>
      <w:r>
        <w:rPr>
          <w:rFonts w:hint="eastAsia" w:ascii="宋体" w:hAnsi="宋体"/>
          <w:color w:val="auto"/>
          <w:spacing w:val="-6"/>
          <w:sz w:val="21"/>
          <w:szCs w:val="21"/>
          <w:highlight w:val="none"/>
          <w:lang w:val="en-US" w:eastAsia="zh-CN"/>
        </w:rPr>
        <w:t>8</w:t>
      </w:r>
      <w:r>
        <w:rPr>
          <w:rFonts w:hint="eastAsia" w:ascii="宋体" w:hAnsi="宋体"/>
          <w:color w:val="auto"/>
          <w:spacing w:val="-6"/>
          <w:sz w:val="21"/>
          <w:szCs w:val="21"/>
          <w:highlight w:val="none"/>
        </w:rPr>
        <w:t>）</w:t>
      </w:r>
    </w:p>
    <w:p>
      <w:pPr>
        <w:spacing w:line="360" w:lineRule="auto"/>
        <w:rPr>
          <w:rFonts w:ascii="宋体" w:hAnsi="宋体" w:cs="Arial"/>
          <w:b/>
          <w:spacing w:val="-6"/>
          <w:sz w:val="24"/>
          <w:highlight w:val="none"/>
        </w:rPr>
      </w:pPr>
      <w:r>
        <w:rPr>
          <w:rFonts w:hint="eastAsia" w:ascii="宋体" w:hAnsi="宋体" w:cs="Arial"/>
          <w:b/>
          <w:spacing w:val="-6"/>
          <w:sz w:val="24"/>
          <w:highlight w:val="none"/>
        </w:rPr>
        <w:t>九、其他说明：</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（一）投标人应在投标报名前提交政府采购云平台（https://www.zcygov.cn/）银行入驻申请并成为公款存放正式供应商，否则无法参与线上公款竞争性存放业务。</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（二）投标人应在投标前完成CA数字证书办理。网上电子投标具体流程详见操作指南：登录政府采购云平台（https://www.zcygov.cn/），从首页-服务中心-帮助文档-公款竞争性存放-操作流程，查看文档。</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（三）如有疑问，可致电政府采购云平台技术支持热线咨询，联系方式：400-881-7190。</w:t>
      </w:r>
    </w:p>
    <w:p>
      <w:pPr>
        <w:spacing w:line="360" w:lineRule="auto"/>
        <w:rPr>
          <w:rFonts w:ascii="宋体" w:hAnsi="宋体" w:cs="Arial"/>
          <w:b/>
          <w:spacing w:val="-6"/>
          <w:sz w:val="24"/>
          <w:highlight w:val="none"/>
        </w:rPr>
      </w:pPr>
      <w:r>
        <w:rPr>
          <w:rFonts w:hint="eastAsia" w:ascii="宋体" w:hAnsi="宋体" w:cs="Arial"/>
          <w:b/>
          <w:spacing w:val="-6"/>
          <w:sz w:val="24"/>
          <w:highlight w:val="none"/>
        </w:rPr>
        <w:t>十、业务咨询：</w:t>
      </w:r>
    </w:p>
    <w:p>
      <w:pPr>
        <w:widowControl/>
        <w:spacing w:line="360" w:lineRule="auto"/>
        <w:ind w:right="60" w:firstLine="396" w:firstLineChars="200"/>
        <w:jc w:val="left"/>
        <w:rPr>
          <w:rFonts w:hint="eastAsia" w:ascii="宋体" w:hAnsi="宋体" w:eastAsia="宋体" w:cs="宋体"/>
          <w:spacing w:val="-6"/>
          <w:kern w:val="0"/>
          <w:sz w:val="21"/>
          <w:szCs w:val="21"/>
          <w:highlight w:val="none"/>
          <w:lang w:eastAsia="zh-CN"/>
        </w:rPr>
      </w:pPr>
      <w:r>
        <w:rPr>
          <w:rFonts w:hint="eastAsia" w:ascii="宋体" w:hAnsi="宋体" w:cs="宋体"/>
          <w:spacing w:val="-6"/>
          <w:kern w:val="0"/>
          <w:sz w:val="21"/>
          <w:szCs w:val="21"/>
          <w:highlight w:val="none"/>
        </w:rPr>
        <w:t>招标人名称：</w:t>
      </w:r>
      <w:r>
        <w:rPr>
          <w:rFonts w:hint="eastAsia" w:ascii="宋体" w:hAnsi="宋体" w:cs="宋体"/>
          <w:spacing w:val="-6"/>
          <w:kern w:val="0"/>
          <w:sz w:val="21"/>
          <w:szCs w:val="21"/>
          <w:highlight w:val="none"/>
          <w:lang w:eastAsia="zh-CN"/>
        </w:rPr>
        <w:t>浙江金融职业学院</w:t>
      </w: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地址：杭州市下沙高教园区学源118号</w:t>
      </w:r>
    </w:p>
    <w:p>
      <w:pPr>
        <w:widowControl/>
        <w:spacing w:line="360" w:lineRule="auto"/>
        <w:ind w:right="60" w:firstLine="420" w:firstLineChars="200"/>
        <w:jc w:val="left"/>
        <w:rPr>
          <w:rFonts w:hint="eastAsia" w:ascii="宋体" w:hAnsi="宋体"/>
          <w:color w:val="auto"/>
          <w:sz w:val="21"/>
          <w:szCs w:val="21"/>
          <w:highlight w:val="none"/>
        </w:rPr>
      </w:pPr>
      <w:r>
        <w:rPr>
          <w:rFonts w:hint="eastAsia" w:ascii="宋体" w:hAnsi="宋体"/>
          <w:color w:val="auto"/>
          <w:sz w:val="21"/>
          <w:szCs w:val="21"/>
          <w:highlight w:val="none"/>
        </w:rPr>
        <w:t>联系方式：陈老师 0571-86766955</w:t>
      </w:r>
    </w:p>
    <w:p>
      <w:pPr>
        <w:widowControl/>
        <w:spacing w:line="360" w:lineRule="auto"/>
        <w:ind w:right="60" w:firstLine="420" w:firstLineChars="200"/>
        <w:jc w:val="left"/>
        <w:rPr>
          <w:rFonts w:hint="default" w:ascii="宋体" w:hAnsi="宋体"/>
          <w:color w:val="auto"/>
          <w:sz w:val="21"/>
          <w:szCs w:val="21"/>
          <w:highlight w:val="none"/>
          <w:lang w:val="en-US" w:eastAsia="zh-CN"/>
        </w:rPr>
      </w:pPr>
      <w:r>
        <w:rPr>
          <w:rFonts w:hint="eastAsia" w:ascii="宋体" w:hAnsi="宋体"/>
          <w:color w:val="auto"/>
          <w:sz w:val="21"/>
          <w:szCs w:val="21"/>
          <w:highlight w:val="none"/>
          <w:lang w:eastAsia="zh-CN"/>
        </w:rPr>
        <w:t>项目联系人（询问）：</w:t>
      </w:r>
      <w:r>
        <w:rPr>
          <w:rFonts w:hint="eastAsia" w:ascii="宋体" w:hAnsi="宋体"/>
          <w:color w:val="auto"/>
          <w:sz w:val="21"/>
          <w:szCs w:val="21"/>
          <w:highlight w:val="none"/>
          <w:lang w:val="en-US" w:eastAsia="zh-CN"/>
        </w:rPr>
        <w:t>陈老师</w:t>
      </w:r>
    </w:p>
    <w:p>
      <w:pPr>
        <w:widowControl/>
        <w:spacing w:line="360" w:lineRule="auto"/>
        <w:ind w:right="60" w:firstLine="420" w:firstLineChars="200"/>
        <w:jc w:val="left"/>
        <w:rPr>
          <w:rFonts w:hint="default" w:ascii="宋体" w:hAnsi="宋体"/>
          <w:color w:val="auto"/>
          <w:sz w:val="21"/>
          <w:szCs w:val="21"/>
          <w:highlight w:val="none"/>
          <w:lang w:val="en-US" w:eastAsia="zh-CN"/>
        </w:rPr>
      </w:pPr>
      <w:r>
        <w:rPr>
          <w:rFonts w:hint="eastAsia" w:ascii="宋体" w:hAnsi="宋体"/>
          <w:color w:val="auto"/>
          <w:sz w:val="21"/>
          <w:szCs w:val="21"/>
          <w:highlight w:val="none"/>
          <w:lang w:eastAsia="zh-CN"/>
        </w:rPr>
        <w:t>项目联系方式（询问）：</w:t>
      </w:r>
      <w:r>
        <w:rPr>
          <w:rFonts w:hint="eastAsia" w:ascii="宋体" w:hAnsi="宋体"/>
          <w:color w:val="auto"/>
          <w:sz w:val="21"/>
          <w:szCs w:val="21"/>
          <w:highlight w:val="none"/>
          <w:lang w:val="en-US" w:eastAsia="zh-CN"/>
        </w:rPr>
        <w:t>0571-86739165</w:t>
      </w:r>
    </w:p>
    <w:p>
      <w:pPr>
        <w:widowControl/>
        <w:spacing w:line="360" w:lineRule="auto"/>
        <w:ind w:right="60" w:firstLine="420" w:firstLineChars="200"/>
        <w:jc w:val="left"/>
        <w:rPr>
          <w:rFonts w:hint="eastAsia" w:ascii="宋体" w:hAnsi="宋体"/>
          <w:color w:val="auto"/>
          <w:sz w:val="21"/>
          <w:szCs w:val="21"/>
          <w:highlight w:val="none"/>
        </w:rPr>
      </w:pPr>
      <w:r>
        <w:rPr>
          <w:rFonts w:hint="eastAsia" w:ascii="宋体" w:hAnsi="宋体"/>
          <w:color w:val="auto"/>
          <w:sz w:val="21"/>
          <w:szCs w:val="21"/>
          <w:highlight w:val="none"/>
        </w:rPr>
        <w:t>质疑联系人：王老师</w:t>
      </w:r>
    </w:p>
    <w:p>
      <w:pPr>
        <w:widowControl/>
        <w:spacing w:line="360" w:lineRule="auto"/>
        <w:ind w:right="60" w:firstLine="420" w:firstLineChars="200"/>
        <w:jc w:val="left"/>
        <w:rPr>
          <w:rFonts w:ascii="宋体" w:hAnsi="宋体" w:cs="宋体"/>
          <w:spacing w:val="-6"/>
          <w:kern w:val="0"/>
          <w:sz w:val="21"/>
          <w:szCs w:val="21"/>
          <w:highlight w:val="none"/>
        </w:rPr>
      </w:pPr>
      <w:r>
        <w:rPr>
          <w:rFonts w:hint="eastAsia" w:ascii="宋体" w:hAnsi="宋体"/>
          <w:sz w:val="21"/>
          <w:szCs w:val="21"/>
          <w:highlight w:val="none"/>
        </w:rPr>
        <w:t>质疑联系方式：0571-86739163</w:t>
      </w:r>
    </w:p>
    <w:p>
      <w:pPr>
        <w:widowControl/>
        <w:spacing w:line="360" w:lineRule="auto"/>
        <w:ind w:right="60" w:firstLine="396" w:firstLineChars="200"/>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招标代理机构名称：浙江求是招标代理有限公司</w:t>
      </w:r>
    </w:p>
    <w:p>
      <w:pPr>
        <w:widowControl/>
        <w:spacing w:line="360" w:lineRule="auto"/>
        <w:ind w:right="60" w:firstLine="396" w:firstLineChars="200"/>
        <w:jc w:val="left"/>
        <w:rPr>
          <w:rFonts w:hint="eastAsia" w:ascii="宋体" w:hAnsi="宋体" w:eastAsia="宋体" w:cs="宋体"/>
          <w:spacing w:val="-6"/>
          <w:kern w:val="0"/>
          <w:sz w:val="21"/>
          <w:szCs w:val="21"/>
          <w:highlight w:val="none"/>
          <w:lang w:eastAsia="zh-CN"/>
        </w:rPr>
      </w:pPr>
      <w:r>
        <w:rPr>
          <w:rFonts w:hint="eastAsia" w:ascii="宋体" w:hAnsi="宋体" w:cs="宋体"/>
          <w:spacing w:val="-6"/>
          <w:kern w:val="0"/>
          <w:sz w:val="21"/>
          <w:szCs w:val="21"/>
          <w:highlight w:val="none"/>
        </w:rPr>
        <w:t>地址：杭州市西湖区玉古路173号中田大厦</w:t>
      </w:r>
      <w:r>
        <w:rPr>
          <w:rFonts w:hint="eastAsia" w:ascii="宋体" w:hAnsi="宋体" w:cs="宋体"/>
          <w:spacing w:val="-6"/>
          <w:kern w:val="0"/>
          <w:sz w:val="21"/>
          <w:szCs w:val="21"/>
          <w:highlight w:val="none"/>
          <w:lang w:eastAsia="zh-CN"/>
        </w:rPr>
        <w:t>21楼</w:t>
      </w:r>
    </w:p>
    <w:p>
      <w:pPr>
        <w:widowControl/>
        <w:spacing w:line="360" w:lineRule="auto"/>
        <w:ind w:right="60" w:firstLine="396" w:firstLineChars="200"/>
        <w:jc w:val="left"/>
        <w:rPr>
          <w:rFonts w:hint="eastAsia" w:ascii="宋体" w:hAnsi="宋体" w:eastAsia="宋体" w:cs="宋体"/>
          <w:spacing w:val="-6"/>
          <w:kern w:val="0"/>
          <w:sz w:val="21"/>
          <w:szCs w:val="21"/>
          <w:highlight w:val="none"/>
          <w:lang w:eastAsia="zh-CN"/>
        </w:rPr>
      </w:pPr>
      <w:r>
        <w:rPr>
          <w:rFonts w:hint="eastAsia" w:ascii="宋体" w:hAnsi="宋体" w:cs="宋体"/>
          <w:spacing w:val="-6"/>
          <w:kern w:val="0"/>
          <w:sz w:val="21"/>
          <w:szCs w:val="21"/>
          <w:highlight w:val="none"/>
        </w:rPr>
        <w:t>业务联系人：陈应俭、</w:t>
      </w:r>
      <w:r>
        <w:rPr>
          <w:rFonts w:hint="eastAsia" w:ascii="宋体" w:hAnsi="宋体" w:cs="宋体"/>
          <w:spacing w:val="-6"/>
          <w:kern w:val="0"/>
          <w:sz w:val="21"/>
          <w:szCs w:val="21"/>
          <w:highlight w:val="none"/>
          <w:lang w:eastAsia="zh-CN"/>
        </w:rPr>
        <w:t>蒋晗</w:t>
      </w:r>
    </w:p>
    <w:p>
      <w:pPr>
        <w:widowControl/>
        <w:spacing w:line="360" w:lineRule="auto"/>
        <w:ind w:right="60" w:firstLine="396" w:firstLineChars="200"/>
        <w:jc w:val="left"/>
        <w:rPr>
          <w:rFonts w:hint="eastAsia" w:ascii="宋体" w:hAnsi="宋体" w:eastAsia="宋体" w:cs="宋体"/>
          <w:spacing w:val="-6"/>
          <w:kern w:val="0"/>
          <w:sz w:val="21"/>
          <w:szCs w:val="21"/>
          <w:highlight w:val="none"/>
          <w:lang w:eastAsia="zh-CN"/>
        </w:rPr>
      </w:pPr>
      <w:r>
        <w:rPr>
          <w:rFonts w:hint="eastAsia" w:ascii="宋体" w:hAnsi="宋体" w:cs="宋体"/>
          <w:spacing w:val="-6"/>
          <w:kern w:val="0"/>
          <w:sz w:val="21"/>
          <w:szCs w:val="21"/>
          <w:highlight w:val="none"/>
        </w:rPr>
        <w:t>联系方法：</w:t>
      </w:r>
      <w:r>
        <w:rPr>
          <w:rFonts w:hint="eastAsia" w:ascii="宋体" w:hAnsi="宋体" w:cs="宋体"/>
          <w:spacing w:val="-6"/>
          <w:kern w:val="0"/>
          <w:sz w:val="21"/>
          <w:szCs w:val="21"/>
          <w:highlight w:val="none"/>
          <w:lang w:eastAsia="zh-CN"/>
        </w:rPr>
        <w:t>0571-87670301</w:t>
      </w:r>
    </w:p>
    <w:p>
      <w:pPr>
        <w:widowControl/>
        <w:spacing w:line="360" w:lineRule="auto"/>
        <w:ind w:right="60" w:firstLine="396" w:firstLineChars="200"/>
        <w:jc w:val="left"/>
        <w:rPr>
          <w:rFonts w:hint="eastAsia" w:ascii="宋体" w:hAnsi="宋体" w:eastAsia="宋体" w:cs="宋体"/>
          <w:spacing w:val="-6"/>
          <w:kern w:val="0"/>
          <w:sz w:val="21"/>
          <w:szCs w:val="21"/>
          <w:highlight w:val="none"/>
          <w:lang w:val="en-US" w:eastAsia="zh-CN"/>
        </w:rPr>
      </w:pPr>
      <w:r>
        <w:rPr>
          <w:rFonts w:hint="eastAsia" w:ascii="宋体" w:hAnsi="宋体" w:cs="宋体"/>
          <w:spacing w:val="-6"/>
          <w:kern w:val="0"/>
          <w:sz w:val="21"/>
          <w:szCs w:val="21"/>
          <w:highlight w:val="none"/>
        </w:rPr>
        <w:t>招标代理机构质疑联系人：</w:t>
      </w:r>
      <w:r>
        <w:rPr>
          <w:rFonts w:hint="eastAsia" w:ascii="宋体" w:hAnsi="宋体" w:cs="宋体"/>
          <w:spacing w:val="-6"/>
          <w:kern w:val="0"/>
          <w:sz w:val="21"/>
          <w:szCs w:val="21"/>
          <w:highlight w:val="none"/>
          <w:lang w:val="en-US" w:eastAsia="zh-CN"/>
        </w:rPr>
        <w:t>刘璐</w:t>
      </w:r>
    </w:p>
    <w:p>
      <w:pPr>
        <w:widowControl/>
        <w:spacing w:line="360" w:lineRule="auto"/>
        <w:ind w:right="60" w:firstLine="396" w:firstLineChars="200"/>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联系方法：0571-81110356</w:t>
      </w:r>
    </w:p>
    <w:p>
      <w:pPr>
        <w:widowControl/>
        <w:spacing w:line="360" w:lineRule="auto"/>
        <w:ind w:right="60" w:firstLine="396" w:firstLineChars="200"/>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质疑邮箱：jdkh@qszb.net</w:t>
      </w:r>
    </w:p>
    <w:p>
      <w:pPr>
        <w:spacing w:line="360" w:lineRule="auto"/>
        <w:ind w:firstLine="420" w:firstLineChars="200"/>
        <w:jc w:val="center"/>
        <w:outlineLvl w:val="0"/>
        <w:rPr>
          <w:rFonts w:asciiTheme="minorEastAsia" w:hAnsiTheme="minorEastAsia" w:eastAsiaTheme="minorEastAsia"/>
          <w:sz w:val="21"/>
          <w:szCs w:val="21"/>
          <w:highlight w:val="none"/>
        </w:rPr>
      </w:pPr>
      <w:r>
        <w:rPr>
          <w:rFonts w:hint="eastAsia" w:ascii="宋体" w:hAnsi="宋体"/>
          <w:sz w:val="21"/>
          <w:szCs w:val="21"/>
          <w:highlight w:val="none"/>
        </w:rPr>
        <w:br w:type="page"/>
      </w:r>
      <w:r>
        <w:rPr>
          <w:rFonts w:hint="eastAsia" w:ascii="宋体" w:hAnsi="宋体"/>
          <w:b/>
          <w:sz w:val="32"/>
          <w:szCs w:val="32"/>
          <w:highlight w:val="none"/>
        </w:rPr>
        <w:t xml:space="preserve">第二章  </w:t>
      </w:r>
      <w:r>
        <w:rPr>
          <w:rFonts w:hint="eastAsia" w:ascii="宋体" w:hAnsi="宋体"/>
          <w:b/>
          <w:bCs/>
          <w:sz w:val="32"/>
          <w:szCs w:val="32"/>
          <w:highlight w:val="none"/>
        </w:rPr>
        <w:t>招标需求</w:t>
      </w:r>
    </w:p>
    <w:p>
      <w:pPr>
        <w:adjustRightInd w:val="0"/>
        <w:snapToGrid w:val="0"/>
        <w:spacing w:line="288" w:lineRule="auto"/>
        <w:ind w:firstLine="420" w:firstLineChars="200"/>
        <w:rPr>
          <w:rFonts w:ascii="宋体" w:hAnsi="宋体" w:cs="宋体"/>
          <w:spacing w:val="-6"/>
          <w:kern w:val="0"/>
          <w:sz w:val="21"/>
          <w:szCs w:val="21"/>
          <w:highlight w:val="none"/>
        </w:rPr>
      </w:pPr>
      <w:r>
        <w:rPr>
          <w:rFonts w:hint="eastAsia" w:asciiTheme="minorEastAsia" w:hAnsiTheme="minorEastAsia" w:eastAsiaTheme="minorEastAsia"/>
          <w:sz w:val="21"/>
          <w:szCs w:val="21"/>
          <w:highlight w:val="none"/>
        </w:rPr>
        <w:t>本次招标采用综合评分法，招标确</w:t>
      </w:r>
      <w:r>
        <w:rPr>
          <w:rFonts w:hint="eastAsia" w:ascii="宋体" w:hAnsi="宋体" w:cs="宋体"/>
          <w:spacing w:val="-6"/>
          <w:kern w:val="0"/>
          <w:sz w:val="21"/>
          <w:szCs w:val="21"/>
          <w:highlight w:val="none"/>
        </w:rPr>
        <w:t>定</w:t>
      </w:r>
      <w:r>
        <w:rPr>
          <w:rFonts w:hint="eastAsia" w:ascii="宋体" w:hAnsi="宋体" w:cs="宋体"/>
          <w:spacing w:val="-6"/>
          <w:kern w:val="0"/>
          <w:sz w:val="21"/>
          <w:szCs w:val="21"/>
          <w:highlight w:val="none"/>
          <w:lang w:val="en-US" w:eastAsia="zh-CN"/>
        </w:rPr>
        <w:t>7</w:t>
      </w:r>
      <w:r>
        <w:rPr>
          <w:rFonts w:hint="eastAsia" w:ascii="宋体" w:hAnsi="宋体" w:cs="宋体"/>
          <w:spacing w:val="-6"/>
          <w:kern w:val="0"/>
          <w:sz w:val="21"/>
          <w:szCs w:val="21"/>
          <w:highlight w:val="none"/>
        </w:rPr>
        <w:t>家银行机构负责提供</w:t>
      </w:r>
      <w:r>
        <w:rPr>
          <w:rFonts w:hint="eastAsia" w:ascii="宋体" w:hAnsi="宋体" w:cs="宋体"/>
          <w:spacing w:val="-6"/>
          <w:kern w:val="0"/>
          <w:sz w:val="21"/>
          <w:szCs w:val="21"/>
          <w:highlight w:val="none"/>
          <w:lang w:eastAsia="zh-CN"/>
        </w:rPr>
        <w:t>浙江金融职业学院2023年第一期公款竞争性存放</w:t>
      </w:r>
      <w:r>
        <w:rPr>
          <w:rFonts w:hint="eastAsia" w:ascii="宋体" w:hAnsi="宋体" w:cs="宋体"/>
          <w:spacing w:val="-6"/>
          <w:kern w:val="0"/>
          <w:sz w:val="21"/>
          <w:szCs w:val="21"/>
          <w:highlight w:val="none"/>
        </w:rPr>
        <w:t>服务。</w:t>
      </w:r>
    </w:p>
    <w:p>
      <w:pPr>
        <w:adjustRightInd w:val="0"/>
        <w:snapToGrid w:val="0"/>
        <w:spacing w:line="288" w:lineRule="auto"/>
        <w:ind w:firstLine="396" w:firstLineChars="200"/>
        <w:rPr>
          <w:rFonts w:hint="eastAsia" w:ascii="宋体" w:hAnsi="宋体" w:cs="宋体"/>
          <w:spacing w:val="-6"/>
          <w:kern w:val="0"/>
          <w:sz w:val="21"/>
          <w:szCs w:val="21"/>
          <w:highlight w:val="none"/>
        </w:rPr>
      </w:pPr>
      <w:r>
        <w:rPr>
          <w:rFonts w:hint="eastAsia" w:ascii="宋体" w:hAnsi="宋体" w:cs="宋体"/>
          <w:spacing w:val="-6"/>
          <w:kern w:val="0"/>
          <w:sz w:val="21"/>
          <w:szCs w:val="21"/>
          <w:highlight w:val="none"/>
        </w:rPr>
        <w:t>服务要求：</w:t>
      </w:r>
    </w:p>
    <w:tbl>
      <w:tblPr>
        <w:tblStyle w:val="24"/>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2"/>
        <w:gridCol w:w="1367"/>
        <w:gridCol w:w="1056"/>
        <w:gridCol w:w="1077"/>
        <w:gridCol w:w="4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852" w:type="dxa"/>
            <w:noWrap/>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default"/>
                <w:sz w:val="21"/>
                <w:szCs w:val="21"/>
              </w:rPr>
            </w:pPr>
            <w:r>
              <w:rPr>
                <w:rFonts w:hint="eastAsia"/>
                <w:sz w:val="21"/>
                <w:szCs w:val="21"/>
              </w:rPr>
              <w:t>采购内容</w:t>
            </w:r>
          </w:p>
        </w:tc>
        <w:tc>
          <w:tcPr>
            <w:tcW w:w="1367" w:type="dxa"/>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存放金额</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（万元）</w:t>
            </w:r>
          </w:p>
        </w:tc>
        <w:tc>
          <w:tcPr>
            <w:tcW w:w="1056" w:type="dxa"/>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选择银行</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（家）</w:t>
            </w:r>
          </w:p>
        </w:tc>
        <w:tc>
          <w:tcPr>
            <w:tcW w:w="1077" w:type="dxa"/>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存放期限</w:t>
            </w:r>
          </w:p>
        </w:tc>
        <w:tc>
          <w:tcPr>
            <w:tcW w:w="4276" w:type="dxa"/>
            <w:noWrap/>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default"/>
                <w:sz w:val="21"/>
                <w:szCs w:val="21"/>
              </w:rPr>
            </w:pPr>
            <w:r>
              <w:rPr>
                <w:rFonts w:hint="eastAsia"/>
                <w:sz w:val="21"/>
                <w:szCs w:val="21"/>
              </w:rPr>
              <w:t>资金分配及存放说明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852" w:type="dxa"/>
            <w:noWrap/>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default"/>
                <w:sz w:val="21"/>
                <w:szCs w:val="21"/>
              </w:rPr>
            </w:pPr>
            <w:r>
              <w:rPr>
                <w:rFonts w:hint="eastAsia"/>
                <w:sz w:val="21"/>
                <w:szCs w:val="21"/>
              </w:rPr>
              <w:t>浙江金融职业学院</w:t>
            </w:r>
            <w:r>
              <w:rPr>
                <w:rFonts w:hint="eastAsia"/>
                <w:sz w:val="21"/>
                <w:szCs w:val="21"/>
                <w:lang w:eastAsia="zh-CN"/>
              </w:rPr>
              <w:t>2023年第一期公款竞争性存放</w:t>
            </w:r>
          </w:p>
        </w:tc>
        <w:tc>
          <w:tcPr>
            <w:tcW w:w="1367" w:type="dxa"/>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default"/>
                <w:sz w:val="21"/>
                <w:szCs w:val="21"/>
              </w:rPr>
            </w:pPr>
            <w:r>
              <w:rPr>
                <w:rFonts w:hint="eastAsia"/>
                <w:sz w:val="21"/>
                <w:szCs w:val="21"/>
              </w:rPr>
              <w:t>2</w:t>
            </w:r>
            <w:r>
              <w:rPr>
                <w:rFonts w:hint="eastAsia"/>
                <w:sz w:val="21"/>
                <w:szCs w:val="21"/>
                <w:lang w:val="en-US" w:eastAsia="zh-CN"/>
              </w:rPr>
              <w:t>3</w:t>
            </w:r>
            <w:r>
              <w:rPr>
                <w:rFonts w:hint="eastAsia"/>
                <w:sz w:val="21"/>
                <w:szCs w:val="21"/>
              </w:rPr>
              <w:t>00</w:t>
            </w:r>
            <w:r>
              <w:rPr>
                <w:rFonts w:hint="default"/>
                <w:sz w:val="21"/>
                <w:szCs w:val="21"/>
              </w:rPr>
              <w:t>0</w:t>
            </w:r>
          </w:p>
        </w:tc>
        <w:tc>
          <w:tcPr>
            <w:tcW w:w="1056" w:type="dxa"/>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7</w:t>
            </w:r>
          </w:p>
        </w:tc>
        <w:tc>
          <w:tcPr>
            <w:tcW w:w="1077" w:type="dxa"/>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1年</w:t>
            </w:r>
          </w:p>
        </w:tc>
        <w:tc>
          <w:tcPr>
            <w:tcW w:w="4276" w:type="dxa"/>
            <w:noWrap/>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textAlignment w:val="auto"/>
              <w:rPr>
                <w:rFonts w:hint="eastAsia"/>
                <w:sz w:val="21"/>
                <w:szCs w:val="21"/>
              </w:rPr>
            </w:pPr>
            <w:r>
              <w:rPr>
                <w:rFonts w:hint="eastAsia"/>
                <w:sz w:val="21"/>
                <w:szCs w:val="21"/>
              </w:rPr>
              <w:t>按照本次招标结果排名顺序选择七家银行进行资金存放。其中：第一名、第二名存放金额为</w:t>
            </w:r>
            <w:r>
              <w:rPr>
                <w:rFonts w:hint="eastAsia"/>
                <w:sz w:val="21"/>
                <w:szCs w:val="21"/>
                <w:lang w:val="en-US" w:eastAsia="zh-CN"/>
              </w:rPr>
              <w:t>5000</w:t>
            </w:r>
            <w:r>
              <w:rPr>
                <w:rFonts w:hint="eastAsia"/>
                <w:sz w:val="21"/>
                <w:szCs w:val="21"/>
              </w:rPr>
              <w:t>万元；第三名、第四名、第五名存放金额为3000万元；第六名2500万元；第七名</w:t>
            </w:r>
            <w:r>
              <w:rPr>
                <w:rFonts w:hint="eastAsia"/>
                <w:sz w:val="21"/>
                <w:szCs w:val="21"/>
                <w:lang w:val="en-US" w:eastAsia="zh-CN"/>
              </w:rPr>
              <w:t>15</w:t>
            </w:r>
            <w:r>
              <w:rPr>
                <w:rFonts w:hint="eastAsia"/>
                <w:sz w:val="21"/>
                <w:szCs w:val="21"/>
              </w:rPr>
              <w:t>00万元。浙江金融职业学院存款存放顺序根据学院资金情况，先存放到第1名，第1名存放金额完成后再存放到第2名，以此类推，足额存放七家银行。浙江金融职业学院存款使用顺序根据学院资金情况，先从第7名开始提取，第7名提取完所有金额后再从第6名开始提取，以此类推。</w:t>
            </w:r>
          </w:p>
        </w:tc>
      </w:tr>
    </w:tbl>
    <w:p>
      <w:pPr>
        <w:adjustRightInd w:val="0"/>
        <w:snapToGrid w:val="0"/>
        <w:spacing w:line="360" w:lineRule="auto"/>
        <w:ind w:firstLine="396" w:firstLineChars="200"/>
        <w:rPr>
          <w:rFonts w:ascii="宋体" w:hAnsi="宋体" w:cs="宋体"/>
          <w:spacing w:val="-6"/>
          <w:kern w:val="0"/>
          <w:sz w:val="21"/>
          <w:szCs w:val="21"/>
          <w:highlight w:val="none"/>
        </w:rPr>
      </w:pPr>
      <w:r>
        <w:rPr>
          <w:rFonts w:hint="eastAsia" w:ascii="宋体" w:hAnsi="宋体" w:cs="宋体"/>
          <w:spacing w:val="-6"/>
          <w:kern w:val="0"/>
          <w:sz w:val="21"/>
          <w:szCs w:val="21"/>
          <w:highlight w:val="none"/>
        </w:rPr>
        <w:t>（一）严格按照《关于防止领导干部在公款存放方面发生利益冲突和利益输送的办法》（浙委办发〔2015〕8号)、《浙江省教育厅公款竞争性存放实施细则》（浙教财〔2019〕46号)、《浙江省财政厅关于印发浙江省省级行政事业单位公款竞争性存放管理办法的通知》（浙财预执〔2021〕7号）等公款存放的制度规定，办理各项业务，保证资金的安全性。遇到有被银监局降级等特殊情况，会危及资金安全的需要在情况发生3天内及时通知招标人。</w:t>
      </w:r>
    </w:p>
    <w:p>
      <w:pPr>
        <w:adjustRightInd w:val="0"/>
        <w:snapToGrid w:val="0"/>
        <w:spacing w:line="360" w:lineRule="auto"/>
        <w:ind w:firstLine="396" w:firstLineChars="200"/>
        <w:rPr>
          <w:rFonts w:ascii="宋体" w:hAnsi="宋体" w:cs="宋体"/>
          <w:sz w:val="21"/>
          <w:szCs w:val="21"/>
          <w:highlight w:val="none"/>
        </w:rPr>
      </w:pPr>
      <w:r>
        <w:rPr>
          <w:rFonts w:hint="eastAsia" w:ascii="宋体" w:hAnsi="宋体" w:cs="宋体"/>
          <w:spacing w:val="-6"/>
          <w:kern w:val="0"/>
          <w:sz w:val="21"/>
          <w:szCs w:val="21"/>
          <w:highlight w:val="none"/>
        </w:rPr>
        <w:t>（二）本项目定期存款存期1年。续存按《浙江省财政厅关于印发浙江省省级行政事业单位公款竞争性存放管理办法的通知》（浙财预执〔2021〕7号）</w:t>
      </w:r>
      <w:r>
        <w:rPr>
          <w:rFonts w:hint="eastAsia" w:ascii="宋体" w:hAnsi="宋体" w:cs="宋体"/>
          <w:sz w:val="21"/>
          <w:szCs w:val="21"/>
          <w:highlight w:val="none"/>
        </w:rPr>
        <w:t>规定执行。凡发现并经核实中标人未遵守廉政承诺或者在资金存放中存在其他利益输送行为的，</w:t>
      </w:r>
      <w:r>
        <w:rPr>
          <w:rFonts w:hint="eastAsia" w:ascii="宋体" w:hAnsi="宋体" w:cs="宋体"/>
          <w:spacing w:val="-6"/>
          <w:kern w:val="0"/>
          <w:sz w:val="21"/>
          <w:szCs w:val="21"/>
          <w:highlight w:val="none"/>
        </w:rPr>
        <w:t>招标人</w:t>
      </w:r>
      <w:r>
        <w:rPr>
          <w:rFonts w:hint="eastAsia" w:ascii="宋体" w:hAnsi="宋体" w:cs="宋体"/>
          <w:sz w:val="21"/>
          <w:szCs w:val="21"/>
          <w:highlight w:val="none"/>
        </w:rPr>
        <w:t>有权提前收回资金。</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（三）按中标利率对公款资金进行计息，定期存款到期时应及时将本息打入</w:t>
      </w:r>
      <w:r>
        <w:rPr>
          <w:rFonts w:hint="eastAsia" w:ascii="宋体" w:hAnsi="宋体" w:cs="宋体"/>
          <w:spacing w:val="-6"/>
          <w:kern w:val="0"/>
          <w:sz w:val="21"/>
          <w:szCs w:val="21"/>
          <w:highlight w:val="none"/>
        </w:rPr>
        <w:t>招标人</w:t>
      </w:r>
      <w:r>
        <w:rPr>
          <w:rFonts w:hint="eastAsia" w:ascii="宋体" w:hAnsi="宋体" w:cs="宋体"/>
          <w:sz w:val="21"/>
          <w:szCs w:val="21"/>
          <w:highlight w:val="none"/>
        </w:rPr>
        <w:t>账户。不能以任何理由拒绝办理或部分办理。</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（四）有专人负责办理相关业务，及时上门提供定期账单，重大金额及重要事项当天送达。</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（五）免收银行各项业务手续费。</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rPr>
        <w:t>（六）遇到需要提前支取的情况，应该在核对相应的材料后给予绿色通道快速处理，不得拖延。提前支取规则：存款如需提前支取，则从排名靠后的银行开始。</w:t>
      </w:r>
    </w:p>
    <w:p>
      <w:pPr>
        <w:adjustRightInd w:val="0"/>
        <w:snapToGrid w:val="0"/>
        <w:spacing w:line="360" w:lineRule="auto"/>
        <w:ind w:firstLine="420" w:firstLineChars="200"/>
        <w:rPr>
          <w:rFonts w:ascii="宋体" w:hAnsi="宋体" w:cs="宋体"/>
          <w:color w:val="auto"/>
          <w:sz w:val="21"/>
          <w:szCs w:val="21"/>
          <w:highlight w:val="none"/>
        </w:rPr>
      </w:pPr>
      <w:r>
        <w:rPr>
          <w:rFonts w:hint="eastAsia" w:ascii="宋体" w:hAnsi="宋体" w:cs="宋体"/>
          <w:sz w:val="21"/>
          <w:szCs w:val="21"/>
          <w:highlight w:val="none"/>
        </w:rPr>
        <w:t>（</w:t>
      </w:r>
      <w:r>
        <w:rPr>
          <w:rFonts w:hint="eastAsia" w:ascii="宋体" w:hAnsi="宋体" w:cs="宋体"/>
          <w:sz w:val="21"/>
          <w:szCs w:val="21"/>
          <w:highlight w:val="none"/>
          <w:lang w:val="en-US" w:eastAsia="zh-CN"/>
        </w:rPr>
        <w:t>七</w:t>
      </w:r>
      <w:r>
        <w:rPr>
          <w:rFonts w:hint="eastAsia" w:ascii="宋体" w:hAnsi="宋体" w:cs="宋体"/>
          <w:sz w:val="21"/>
          <w:szCs w:val="21"/>
          <w:highlight w:val="none"/>
        </w:rPr>
        <w:t>）投标人应在投标文件中对服务内容明确承诺，承诺内容必须达到本章及招标文件其他条款的要求</w:t>
      </w:r>
      <w:r>
        <w:rPr>
          <w:rFonts w:hint="eastAsia" w:ascii="宋体" w:hAnsi="宋体" w:cs="宋体"/>
          <w:color w:val="auto"/>
          <w:sz w:val="21"/>
          <w:szCs w:val="21"/>
          <w:highlight w:val="none"/>
        </w:rPr>
        <w:t>。</w:t>
      </w:r>
    </w:p>
    <w:p>
      <w:pPr>
        <w:adjustRightInd w:val="0"/>
        <w:snapToGrid w:val="0"/>
        <w:spacing w:line="360" w:lineRule="auto"/>
        <w:ind w:firstLine="396" w:firstLineChars="200"/>
        <w:rPr>
          <w:rFonts w:ascii="宋体" w:hAnsi="宋体" w:cs="宋体"/>
          <w:color w:val="auto"/>
          <w:sz w:val="21"/>
          <w:szCs w:val="21"/>
          <w:highlight w:val="none"/>
        </w:rPr>
      </w:pPr>
      <w:r>
        <w:rPr>
          <w:rFonts w:hint="eastAsia" w:ascii="宋体" w:hAnsi="宋体"/>
          <w:color w:val="auto"/>
          <w:spacing w:val="-6"/>
          <w:kern w:val="0"/>
          <w:sz w:val="21"/>
          <w:szCs w:val="21"/>
          <w:highlight w:val="none"/>
        </w:rPr>
        <w:t>（</w:t>
      </w:r>
      <w:r>
        <w:rPr>
          <w:rFonts w:hint="eastAsia" w:ascii="宋体" w:hAnsi="宋体"/>
          <w:color w:val="auto"/>
          <w:spacing w:val="-6"/>
          <w:kern w:val="0"/>
          <w:sz w:val="21"/>
          <w:szCs w:val="21"/>
          <w:highlight w:val="none"/>
          <w:lang w:val="en-US" w:eastAsia="zh-CN"/>
        </w:rPr>
        <w:t>八</w:t>
      </w:r>
      <w:r>
        <w:rPr>
          <w:rFonts w:hint="eastAsia" w:ascii="宋体" w:hAnsi="宋体"/>
          <w:color w:val="auto"/>
          <w:spacing w:val="-6"/>
          <w:kern w:val="0"/>
          <w:sz w:val="21"/>
          <w:szCs w:val="21"/>
          <w:highlight w:val="none"/>
        </w:rPr>
        <w:t>）本次招标定期存款到期后可以续存原中标银行，对中标银行进行评估但须经单位领导班子集体研究决定，利率符合国家政策要求，且续存利率不低于省级行政事业单位在“浙江政府采购网”上公布的同类银行最近同期限中标利率，对评估合格的银行可续签一年。</w:t>
      </w:r>
    </w:p>
    <w:p>
      <w:pPr>
        <w:adjustRightInd w:val="0"/>
        <w:snapToGrid w:val="0"/>
        <w:spacing w:line="360" w:lineRule="auto"/>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九</w:t>
      </w:r>
      <w:r>
        <w:rPr>
          <w:rFonts w:hint="eastAsia" w:ascii="宋体" w:hAnsi="宋体" w:cs="宋体"/>
          <w:color w:val="auto"/>
          <w:sz w:val="21"/>
          <w:szCs w:val="21"/>
          <w:highlight w:val="none"/>
        </w:rPr>
        <w:t>）基本要求：</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1.本次投标报价为一年定期存款年利率。以现行中国人民银行定期存款基准年利率为基数，填报加基点，定期存款年利率为定期存款基准年利率+基点。本期年利率设保底价为招标公告发布当日中国人民银行公布的整存整取的定期存款基准利率,定期存款基准年利率以实际公款存入日中国人民银行公布基准年利率为准。增加基点（BP）按现行利率政策规定范围填写。</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2.投标文件中承诺的基点值在整个合同执行期内固定不变，基准利率以中国人民银行公告的利率为准。</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3.利息自存入之日起计算，存入时间由招标人根据实际情况决定。</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4.允许招标人根据实际需要确定存单面值、提前支取部分或全部存款。</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5.投标时确定的针对本项目的服务机构是获得总行或在浙江省的最高级别机构唯一授权的分支机构。投标人与最终公款存放的网点一致（如不一致的，须在投标文件中明确最终公款存放的网点），服务期限内不得随意转移。</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6.当中标人因自身原因放弃中标资格，招标人有权选择排名中标人后顺位一位的银行进行递补，以此类推。</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7.公款存放中标人如未履行当期协议相关义务，本次及今后2年不准参加招标人公款存放的投标。</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▲8.如因人民银行原因无法提供上年度（202</w:t>
      </w:r>
      <w:r>
        <w:rPr>
          <w:rFonts w:hint="eastAsia" w:ascii="宋体" w:hAnsi="宋体" w:cs="宋体"/>
          <w:sz w:val="21"/>
          <w:szCs w:val="21"/>
          <w:highlight w:val="none"/>
          <w:lang w:val="en-US" w:eastAsia="zh-CN"/>
        </w:rPr>
        <w:t>2</w:t>
      </w:r>
      <w:r>
        <w:rPr>
          <w:rFonts w:hint="eastAsia" w:ascii="宋体" w:hAnsi="宋体" w:cs="宋体"/>
          <w:sz w:val="21"/>
          <w:szCs w:val="21"/>
          <w:highlight w:val="none"/>
        </w:rPr>
        <w:t>年度）的综合评价可提供202</w:t>
      </w:r>
      <w:r>
        <w:rPr>
          <w:rFonts w:hint="eastAsia" w:ascii="宋体" w:hAnsi="宋体" w:cs="宋体"/>
          <w:sz w:val="21"/>
          <w:szCs w:val="21"/>
          <w:highlight w:val="none"/>
          <w:lang w:val="en-US" w:eastAsia="zh-CN"/>
        </w:rPr>
        <w:t>1</w:t>
      </w:r>
      <w:r>
        <w:rPr>
          <w:rFonts w:hint="eastAsia" w:ascii="宋体" w:hAnsi="宋体" w:cs="宋体"/>
          <w:sz w:val="21"/>
          <w:szCs w:val="21"/>
          <w:highlight w:val="none"/>
        </w:rPr>
        <w:t>年度的材料文件，并提供由上级机构出具的无法提供202</w:t>
      </w:r>
      <w:r>
        <w:rPr>
          <w:rFonts w:hint="eastAsia" w:ascii="宋体" w:hAnsi="宋体" w:cs="宋体"/>
          <w:sz w:val="21"/>
          <w:szCs w:val="21"/>
          <w:highlight w:val="none"/>
          <w:lang w:val="en-US" w:eastAsia="zh-CN"/>
        </w:rPr>
        <w:t>2</w:t>
      </w:r>
      <w:r>
        <w:rPr>
          <w:rFonts w:hint="eastAsia" w:ascii="宋体" w:hAnsi="宋体" w:cs="宋体"/>
          <w:sz w:val="21"/>
          <w:szCs w:val="21"/>
          <w:highlight w:val="none"/>
        </w:rPr>
        <w:t>年度人民银行的综合评价的相关证明，出具机构对证明的真实性负责，不得虚假提供，虚假提供一经发现则取消中标资格。</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9.日常服务包括但不限于：</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rPr>
        <w:t>（1）指定专人负责定期存款相关服务，及时按中标利率对公款资金进行计息和偿付；</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2</w:t>
      </w:r>
      <w:r>
        <w:rPr>
          <w:rFonts w:hint="eastAsia" w:ascii="宋体" w:hAnsi="宋体" w:cs="宋体"/>
          <w:sz w:val="21"/>
          <w:szCs w:val="21"/>
          <w:highlight w:val="none"/>
          <w:lang w:eastAsia="zh-CN"/>
        </w:rPr>
        <w:t>）</w:t>
      </w:r>
      <w:r>
        <w:rPr>
          <w:rFonts w:hint="eastAsia" w:ascii="宋体" w:hAnsi="宋体" w:cs="宋体"/>
          <w:sz w:val="21"/>
          <w:szCs w:val="21"/>
          <w:highlight w:val="none"/>
        </w:rPr>
        <w:t>在下沙经济技术开发区范围内设有人工营业网点，提前支取给予绿色通道快速处理；</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3</w:t>
      </w:r>
      <w:r>
        <w:rPr>
          <w:rFonts w:hint="eastAsia" w:ascii="宋体" w:hAnsi="宋体" w:cs="宋体"/>
          <w:sz w:val="21"/>
          <w:szCs w:val="21"/>
          <w:highlight w:val="none"/>
          <w:lang w:eastAsia="zh-CN"/>
        </w:rPr>
        <w:t>）</w:t>
      </w:r>
      <w:r>
        <w:rPr>
          <w:rFonts w:hint="eastAsia" w:ascii="宋体" w:hAnsi="宋体" w:cs="宋体"/>
          <w:sz w:val="21"/>
          <w:szCs w:val="21"/>
          <w:highlight w:val="none"/>
        </w:rPr>
        <w:t>及时对账户的收支业务提供对账单上门服务，提供银行对账电子稿；</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4</w:t>
      </w:r>
      <w:r>
        <w:rPr>
          <w:rFonts w:hint="eastAsia" w:ascii="宋体" w:hAnsi="宋体" w:cs="宋体"/>
          <w:sz w:val="21"/>
          <w:szCs w:val="21"/>
          <w:highlight w:val="none"/>
          <w:lang w:eastAsia="zh-CN"/>
        </w:rPr>
        <w:t>）</w:t>
      </w:r>
      <w:r>
        <w:rPr>
          <w:rFonts w:hint="eastAsia" w:ascii="宋体" w:hAnsi="宋体" w:cs="宋体"/>
          <w:sz w:val="21"/>
          <w:szCs w:val="21"/>
          <w:highlight w:val="none"/>
        </w:rPr>
        <w:t>及时告知银行出现的重大安全事项以及银行监管部门的相关政策变化，针对异常存取情况，联合学校进行共同防范资金风险；</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5</w:t>
      </w:r>
      <w:r>
        <w:rPr>
          <w:rFonts w:hint="eastAsia" w:ascii="宋体" w:hAnsi="宋体" w:cs="宋体"/>
          <w:sz w:val="21"/>
          <w:szCs w:val="21"/>
          <w:highlight w:val="none"/>
          <w:lang w:eastAsia="zh-CN"/>
        </w:rPr>
        <w:t>）</w:t>
      </w:r>
      <w:r>
        <w:rPr>
          <w:rFonts w:hint="eastAsia" w:ascii="宋体" w:hAnsi="宋体" w:cs="宋体"/>
          <w:sz w:val="21"/>
          <w:szCs w:val="21"/>
          <w:highlight w:val="none"/>
        </w:rPr>
        <w:t>投标银行提供提前支取定期存款计息方案，包括提前支取部分和未提前支取部分的计息方案。</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6</w:t>
      </w:r>
      <w:r>
        <w:rPr>
          <w:rFonts w:hint="eastAsia" w:ascii="宋体" w:hAnsi="宋体" w:cs="宋体"/>
          <w:sz w:val="21"/>
          <w:szCs w:val="21"/>
          <w:highlight w:val="none"/>
          <w:lang w:eastAsia="zh-CN"/>
        </w:rPr>
        <w:t>）</w:t>
      </w:r>
      <w:r>
        <w:rPr>
          <w:rFonts w:hint="eastAsia" w:ascii="宋体" w:hAnsi="宋体" w:cs="宋体"/>
          <w:sz w:val="21"/>
          <w:szCs w:val="21"/>
          <w:highlight w:val="none"/>
        </w:rPr>
        <w:t>投标银行自收服务费用及业务收费（包括网银手续费、保函手续费、资信证明手续费、函询手续费等）免费情况。</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7</w:t>
      </w:r>
      <w:r>
        <w:rPr>
          <w:rFonts w:hint="eastAsia" w:ascii="宋体" w:hAnsi="宋体" w:cs="宋体"/>
          <w:sz w:val="21"/>
          <w:szCs w:val="21"/>
          <w:highlight w:val="none"/>
          <w:lang w:eastAsia="zh-CN"/>
        </w:rPr>
        <w:t>）</w:t>
      </w:r>
      <w:r>
        <w:rPr>
          <w:rFonts w:hint="eastAsia" w:ascii="宋体" w:hAnsi="宋体" w:cs="宋体"/>
          <w:sz w:val="21"/>
          <w:szCs w:val="21"/>
          <w:highlight w:val="none"/>
        </w:rPr>
        <w:t>投标银行针对本项目提供其他服务及承诺。</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10.投标人须在中标后按项目需要办理相关手续，并在合同约定的服务期限内按招标人要求提供服务，涉及存放金额和存放期限的，均由招标人自主确定，投标人不得做限制性规定，也不得降低服务质量和标准。</w:t>
      </w:r>
    </w:p>
    <w:p>
      <w:pPr>
        <w:adjustRightInd w:val="0"/>
        <w:snapToGrid w:val="0"/>
        <w:spacing w:line="360" w:lineRule="auto"/>
        <w:ind w:firstLine="420" w:firstLineChars="200"/>
        <w:rPr>
          <w:rFonts w:ascii="宋体" w:hAnsi="宋体" w:cs="宋体"/>
          <w:sz w:val="21"/>
          <w:szCs w:val="21"/>
          <w:highlight w:val="none"/>
        </w:rPr>
      </w:pPr>
    </w:p>
    <w:p>
      <w:pPr>
        <w:adjustRightInd w:val="0"/>
        <w:snapToGrid w:val="0"/>
        <w:spacing w:line="360" w:lineRule="auto"/>
        <w:ind w:firstLine="422" w:firstLineChars="200"/>
        <w:rPr>
          <w:rFonts w:ascii="宋体" w:hAnsi="宋体" w:cs="宋体"/>
          <w:sz w:val="21"/>
          <w:szCs w:val="21"/>
          <w:highlight w:val="none"/>
        </w:rPr>
      </w:pPr>
      <w:r>
        <w:rPr>
          <w:rFonts w:hint="eastAsia" w:ascii="宋体" w:hAnsi="宋体" w:cs="宋体"/>
          <w:b/>
          <w:bCs/>
          <w:sz w:val="21"/>
          <w:szCs w:val="21"/>
          <w:highlight w:val="none"/>
        </w:rPr>
        <w:t>注：</w:t>
      </w:r>
      <w:r>
        <w:rPr>
          <w:rFonts w:hint="eastAsia" w:ascii="宋体" w:hAnsi="宋体" w:cs="宋体"/>
          <w:sz w:val="21"/>
          <w:szCs w:val="21"/>
          <w:highlight w:val="none"/>
        </w:rPr>
        <w:t>带“▲”的有关技术和商务条款为实质性条款，投标人必须做出实质性响应。</w:t>
      </w:r>
    </w:p>
    <w:p>
      <w:pPr>
        <w:adjustRightInd w:val="0"/>
        <w:snapToGrid w:val="0"/>
        <w:spacing w:line="360" w:lineRule="auto"/>
        <w:ind w:firstLine="420" w:firstLineChars="200"/>
        <w:rPr>
          <w:rFonts w:ascii="宋体" w:hAnsi="宋体" w:cs="宋体"/>
          <w:sz w:val="21"/>
          <w:szCs w:val="21"/>
          <w:highlight w:val="none"/>
        </w:rPr>
      </w:pPr>
    </w:p>
    <w:p>
      <w:pPr>
        <w:spacing w:line="360" w:lineRule="auto"/>
        <w:jc w:val="center"/>
        <w:outlineLvl w:val="0"/>
        <w:rPr>
          <w:rFonts w:ascii="宋体" w:hAnsi="宋体"/>
          <w:sz w:val="21"/>
          <w:szCs w:val="21"/>
          <w:highlight w:val="none"/>
        </w:rPr>
      </w:pPr>
      <w:r>
        <w:rPr>
          <w:rFonts w:ascii="宋体" w:hAnsi="宋体"/>
          <w:sz w:val="21"/>
          <w:szCs w:val="21"/>
          <w:highlight w:val="none"/>
        </w:rPr>
        <w:br w:type="page"/>
      </w:r>
      <w:r>
        <w:rPr>
          <w:rFonts w:hint="eastAsia" w:ascii="宋体" w:hAnsi="宋体"/>
          <w:b/>
          <w:sz w:val="32"/>
          <w:szCs w:val="32"/>
          <w:highlight w:val="none"/>
        </w:rPr>
        <w:t>第三章  投标人须知</w:t>
      </w:r>
    </w:p>
    <w:p>
      <w:pPr>
        <w:spacing w:line="360" w:lineRule="auto"/>
        <w:jc w:val="center"/>
        <w:outlineLvl w:val="1"/>
        <w:rPr>
          <w:rFonts w:ascii="宋体" w:hAnsi="宋体"/>
          <w:b/>
          <w:sz w:val="24"/>
          <w:highlight w:val="none"/>
        </w:rPr>
      </w:pPr>
      <w:r>
        <w:rPr>
          <w:rFonts w:hint="eastAsia" w:ascii="宋体" w:hAnsi="宋体"/>
          <w:b/>
          <w:sz w:val="24"/>
          <w:highlight w:val="none"/>
        </w:rPr>
        <w:t>投标人</w:t>
      </w:r>
      <w:r>
        <w:rPr>
          <w:rFonts w:ascii="宋体" w:hAnsi="宋体"/>
          <w:b/>
          <w:sz w:val="24"/>
          <w:highlight w:val="none"/>
        </w:rPr>
        <w:t>须知</w:t>
      </w:r>
      <w:r>
        <w:rPr>
          <w:rFonts w:hint="eastAsia" w:ascii="宋体" w:hAnsi="宋体"/>
          <w:b/>
          <w:sz w:val="24"/>
          <w:highlight w:val="none"/>
        </w:rPr>
        <w:t>前附表</w:t>
      </w:r>
    </w:p>
    <w:tbl>
      <w:tblPr>
        <w:tblStyle w:val="24"/>
        <w:tblW w:w="9640" w:type="dxa"/>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87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序号</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1</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eastAsia" w:ascii="宋体" w:hAnsi="宋体" w:eastAsia="宋体"/>
                <w:sz w:val="21"/>
                <w:szCs w:val="21"/>
                <w:highlight w:val="none"/>
                <w:lang w:eastAsia="zh-CN"/>
              </w:rPr>
            </w:pPr>
            <w:r>
              <w:rPr>
                <w:rFonts w:hint="eastAsia" w:ascii="宋体" w:hAnsi="宋体"/>
                <w:sz w:val="21"/>
                <w:szCs w:val="21"/>
                <w:highlight w:val="none"/>
              </w:rPr>
              <w:t>招标人：</w:t>
            </w:r>
            <w:r>
              <w:rPr>
                <w:rFonts w:hint="eastAsia" w:ascii="宋体" w:hAnsi="宋体"/>
                <w:sz w:val="21"/>
                <w:szCs w:val="21"/>
                <w:highlight w:val="none"/>
                <w:lang w:eastAsia="zh-CN"/>
              </w:rPr>
              <w:t>浙江金融职业学院</w:t>
            </w:r>
          </w:p>
          <w:p>
            <w:pPr>
              <w:keepNext w:val="0"/>
              <w:keepLines w:val="0"/>
              <w:suppressLineNumbers w:val="0"/>
              <w:spacing w:before="0" w:beforeAutospacing="0" w:after="0" w:afterAutospacing="0" w:line="360" w:lineRule="auto"/>
              <w:ind w:left="0" w:right="0"/>
              <w:rPr>
                <w:rFonts w:hint="eastAsia" w:ascii="宋体" w:hAnsi="宋体" w:eastAsia="宋体"/>
                <w:sz w:val="21"/>
                <w:szCs w:val="21"/>
                <w:highlight w:val="none"/>
                <w:lang w:eastAsia="zh-CN"/>
              </w:rPr>
            </w:pPr>
            <w:r>
              <w:rPr>
                <w:rFonts w:hint="eastAsia" w:ascii="宋体" w:hAnsi="宋体"/>
                <w:sz w:val="21"/>
                <w:szCs w:val="21"/>
                <w:highlight w:val="none"/>
              </w:rPr>
              <w:t>招标项目名称：</w:t>
            </w:r>
            <w:r>
              <w:rPr>
                <w:rFonts w:hint="eastAsia" w:ascii="宋体" w:hAnsi="宋体"/>
                <w:sz w:val="21"/>
                <w:szCs w:val="21"/>
                <w:highlight w:val="none"/>
                <w:lang w:eastAsia="zh-CN"/>
              </w:rPr>
              <w:t>2023年第一期公款竞争性存放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2</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投标报价：</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1.投标报价是指一次性报出不得更改的价格；</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2.本次投标</w:t>
            </w:r>
            <w:r>
              <w:rPr>
                <w:rFonts w:hint="eastAsia" w:ascii="宋体" w:hAnsi="宋体" w:cs="宋体"/>
                <w:sz w:val="21"/>
                <w:szCs w:val="21"/>
                <w:highlight w:val="none"/>
              </w:rPr>
              <w:t>采用</w:t>
            </w:r>
            <w:r>
              <w:rPr>
                <w:rFonts w:hint="eastAsia" w:ascii="宋体" w:hAnsi="宋体"/>
                <w:sz w:val="21"/>
                <w:szCs w:val="21"/>
                <w:highlight w:val="none"/>
              </w:rPr>
              <w:t>一年定期存款年利率报价。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3</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投标费用：</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1.不论投标结果如何，投标人均应自行承担所有与投标有关的全部费用；</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2.中标人在中标通知书发出后七个工作日内，向招标代理机构交纳代理服务费。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4</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投标文件份数：在线上传递交</w:t>
            </w:r>
            <w:r>
              <w:rPr>
                <w:rFonts w:hint="eastAsia" w:ascii="宋体" w:hAnsi="宋体" w:cs="宋体"/>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5</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投标</w:t>
            </w:r>
            <w:r>
              <w:rPr>
                <w:rFonts w:hint="default" w:ascii="宋体" w:hAnsi="宋体"/>
                <w:sz w:val="21"/>
                <w:szCs w:val="21"/>
                <w:highlight w:val="none"/>
              </w:rPr>
              <w:t>有效期</w:t>
            </w:r>
            <w:r>
              <w:rPr>
                <w:rFonts w:hint="eastAsia" w:ascii="宋体" w:hAnsi="宋体"/>
                <w:sz w:val="21"/>
                <w:szCs w:val="21"/>
                <w:highlight w:val="none"/>
              </w:rPr>
              <w:t>：从提交投标文件的截止之日起90天。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6</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评标办法及评分标准：详见第四章《评标办法及评分标准》。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7</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评标结果公示：评标结果公示于浙江政府采购网（</w:t>
            </w:r>
            <w:r>
              <w:rPr>
                <w:rFonts w:hint="default"/>
                <w:highlight w:val="none"/>
              </w:rPr>
              <w:fldChar w:fldCharType="begin"/>
            </w:r>
            <w:r>
              <w:rPr>
                <w:rFonts w:hint="default"/>
                <w:highlight w:val="none"/>
              </w:rPr>
              <w:instrText xml:space="preserve"> HYPERLINK "http://www.zjzfcg.gov.cn/" </w:instrText>
            </w:r>
            <w:r>
              <w:rPr>
                <w:rFonts w:hint="default"/>
                <w:highlight w:val="none"/>
              </w:rPr>
              <w:fldChar w:fldCharType="separate"/>
            </w:r>
            <w:r>
              <w:rPr>
                <w:rStyle w:val="30"/>
                <w:rFonts w:hint="eastAsia" w:ascii="宋体" w:hAnsi="宋体"/>
                <w:color w:val="auto"/>
                <w:sz w:val="21"/>
                <w:szCs w:val="21"/>
                <w:highlight w:val="none"/>
              </w:rPr>
              <w:t>http://www.z</w:t>
            </w:r>
            <w:bookmarkStart w:id="0" w:name="_Hlt495665241"/>
            <w:bookmarkStart w:id="1" w:name="_Hlt495665240"/>
            <w:r>
              <w:rPr>
                <w:rStyle w:val="30"/>
                <w:rFonts w:hint="eastAsia" w:ascii="宋体" w:hAnsi="宋体"/>
                <w:color w:val="auto"/>
                <w:sz w:val="21"/>
                <w:szCs w:val="21"/>
                <w:highlight w:val="none"/>
              </w:rPr>
              <w:t>j</w:t>
            </w:r>
            <w:bookmarkEnd w:id="0"/>
            <w:bookmarkEnd w:id="1"/>
            <w:r>
              <w:rPr>
                <w:rStyle w:val="30"/>
                <w:rFonts w:hint="eastAsia" w:ascii="宋体" w:hAnsi="宋体"/>
                <w:color w:val="auto"/>
                <w:sz w:val="21"/>
                <w:szCs w:val="21"/>
                <w:highlight w:val="none"/>
              </w:rPr>
              <w:t>zfcg.gov.cn</w:t>
            </w:r>
            <w:r>
              <w:rPr>
                <w:rStyle w:val="30"/>
                <w:rFonts w:hint="eastAsia" w:ascii="宋体" w:hAnsi="宋体"/>
                <w:color w:val="auto"/>
                <w:sz w:val="21"/>
                <w:szCs w:val="21"/>
                <w:highlight w:val="none"/>
              </w:rPr>
              <w:fldChar w:fldCharType="end"/>
            </w:r>
            <w:r>
              <w:rPr>
                <w:rFonts w:hint="eastAsia" w:ascii="宋体" w:hAnsi="宋体"/>
                <w:sz w:val="21"/>
                <w:szCs w:val="21"/>
                <w:highlight w:val="none"/>
              </w:rPr>
              <w:t>）等相关网站或媒体。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8</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签订协议：中标通知书发出后30日内。</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支付代理服务费：中标通知书发出后七个工作日内。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9</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定期存款存放银行出现以下情形，招标人及时提前收回定期存款，并有权拒绝其在以后2年内参与本单位公款</w:t>
            </w:r>
            <w:r>
              <w:rPr>
                <w:rFonts w:hint="default" w:ascii="宋体" w:hAnsi="宋体"/>
                <w:sz w:val="21"/>
                <w:szCs w:val="21"/>
                <w:highlight w:val="none"/>
              </w:rPr>
              <w:t>存放</w:t>
            </w:r>
            <w:r>
              <w:rPr>
                <w:rFonts w:hint="eastAsia" w:ascii="宋体" w:hAnsi="宋体"/>
                <w:sz w:val="21"/>
                <w:szCs w:val="21"/>
                <w:highlight w:val="none"/>
              </w:rPr>
              <w:t>。</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（一）出现资金安全事故、重大违法违规情况或财务状况恶化的；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（二）监管评级降低后低于人民银行上年度综合评价B级，监管部门认为存在较大运营风险的；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（三）进行不正当投标的；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（四）没有按照中标协议承诺履行相应的责任和义务的；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（五）不能按规定将到期存款本息足额缴入单位账户的；</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（六）存在其他妨害资金安全行为的。</w:t>
            </w:r>
          </w:p>
        </w:tc>
      </w:tr>
    </w:tbl>
    <w:p>
      <w:pPr>
        <w:pStyle w:val="12"/>
        <w:spacing w:beforeLines="0" w:afterLines="0" w:line="360" w:lineRule="auto"/>
        <w:jc w:val="center"/>
        <w:outlineLvl w:val="1"/>
        <w:rPr>
          <w:rFonts w:hAnsi="宋体"/>
          <w:b/>
          <w:spacing w:val="-6"/>
          <w:sz w:val="32"/>
          <w:szCs w:val="32"/>
          <w:highlight w:val="none"/>
        </w:rPr>
      </w:pPr>
      <w:r>
        <w:rPr>
          <w:rFonts w:hAnsi="宋体"/>
          <w:b/>
          <w:spacing w:val="-6"/>
          <w:sz w:val="21"/>
          <w:szCs w:val="21"/>
          <w:highlight w:val="none"/>
        </w:rPr>
        <w:br w:type="page"/>
      </w:r>
      <w:r>
        <w:rPr>
          <w:rFonts w:hAnsi="宋体"/>
          <w:b/>
          <w:spacing w:val="-6"/>
          <w:sz w:val="32"/>
          <w:szCs w:val="32"/>
          <w:highlight w:val="none"/>
        </w:rPr>
        <w:t>一</w:t>
      </w:r>
      <w:r>
        <w:rPr>
          <w:rFonts w:hint="eastAsia" w:hAnsi="宋体"/>
          <w:b/>
          <w:spacing w:val="-6"/>
          <w:sz w:val="32"/>
          <w:szCs w:val="32"/>
          <w:highlight w:val="none"/>
        </w:rPr>
        <w:t>、</w:t>
      </w:r>
      <w:r>
        <w:rPr>
          <w:rFonts w:hAnsi="宋体"/>
          <w:b/>
          <w:spacing w:val="-6"/>
          <w:sz w:val="32"/>
          <w:szCs w:val="32"/>
          <w:highlight w:val="none"/>
        </w:rPr>
        <w:t>总则</w:t>
      </w:r>
    </w:p>
    <w:p>
      <w:pPr>
        <w:spacing w:line="360" w:lineRule="auto"/>
        <w:jc w:val="left"/>
        <w:rPr>
          <w:rFonts w:ascii="宋体" w:hAnsi="宋体"/>
          <w:b/>
          <w:spacing w:val="-6"/>
          <w:sz w:val="24"/>
          <w:highlight w:val="none"/>
        </w:rPr>
      </w:pPr>
      <w:r>
        <w:rPr>
          <w:rFonts w:hint="eastAsia" w:ascii="宋体" w:hAnsi="宋体"/>
          <w:b/>
          <w:spacing w:val="-6"/>
          <w:sz w:val="24"/>
          <w:highlight w:val="none"/>
        </w:rPr>
        <w:t>（一</w:t>
      </w:r>
      <w:r>
        <w:rPr>
          <w:rFonts w:ascii="宋体" w:hAnsi="宋体"/>
          <w:b/>
          <w:spacing w:val="-6"/>
          <w:sz w:val="24"/>
          <w:highlight w:val="none"/>
        </w:rPr>
        <w:t>）</w:t>
      </w:r>
      <w:r>
        <w:rPr>
          <w:rFonts w:hint="eastAsia" w:ascii="宋体" w:hAnsi="宋体"/>
          <w:b/>
          <w:spacing w:val="-6"/>
          <w:sz w:val="24"/>
          <w:highlight w:val="none"/>
        </w:rPr>
        <w:t xml:space="preserve"> 适用范围</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本招标文件适用于</w:t>
      </w:r>
      <w:r>
        <w:rPr>
          <w:rFonts w:hint="eastAsia" w:ascii="宋体" w:hAnsi="宋体"/>
          <w:spacing w:val="-6"/>
          <w:sz w:val="21"/>
          <w:szCs w:val="21"/>
          <w:highlight w:val="none"/>
          <w:lang w:eastAsia="zh-CN"/>
        </w:rPr>
        <w:t>2023年第一期公款竞争性存放</w:t>
      </w:r>
      <w:r>
        <w:rPr>
          <w:rFonts w:hint="eastAsia" w:ascii="宋体" w:hAnsi="宋体"/>
          <w:spacing w:val="-6"/>
          <w:sz w:val="21"/>
          <w:szCs w:val="21"/>
          <w:highlight w:val="none"/>
        </w:rPr>
        <w:t>的招标、评标、定标、验收、合同履约、付款等（法律、法规另有规定的，从其规定）。</w:t>
      </w:r>
    </w:p>
    <w:p>
      <w:pPr>
        <w:spacing w:line="360" w:lineRule="auto"/>
        <w:jc w:val="left"/>
        <w:rPr>
          <w:rFonts w:ascii="宋体" w:hAnsi="宋体"/>
          <w:b/>
          <w:spacing w:val="-6"/>
          <w:sz w:val="24"/>
          <w:highlight w:val="none"/>
        </w:rPr>
      </w:pPr>
      <w:r>
        <w:rPr>
          <w:rFonts w:hint="eastAsia" w:ascii="宋体" w:hAnsi="宋体"/>
          <w:b/>
          <w:spacing w:val="-6"/>
          <w:sz w:val="24"/>
          <w:highlight w:val="none"/>
        </w:rPr>
        <w:t>（二） 定义</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1.“招标人”系指</w:t>
      </w:r>
      <w:r>
        <w:rPr>
          <w:rFonts w:hint="eastAsia" w:ascii="宋体" w:hAnsi="宋体"/>
          <w:spacing w:val="-6"/>
          <w:sz w:val="21"/>
          <w:szCs w:val="21"/>
          <w:highlight w:val="none"/>
          <w:lang w:eastAsia="zh-CN"/>
        </w:rPr>
        <w:t>浙江金融职业学院</w:t>
      </w:r>
      <w:r>
        <w:rPr>
          <w:rFonts w:hint="eastAsia" w:ascii="宋体" w:hAnsi="宋体"/>
          <w:spacing w:val="-6"/>
          <w:sz w:val="21"/>
          <w:szCs w:val="21"/>
          <w:highlight w:val="none"/>
        </w:rPr>
        <w:t>；</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2.“招标代理机构”系指组织本次招标的浙江求是招标代理有限公司；</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3</w:t>
      </w:r>
      <w:r>
        <w:rPr>
          <w:rFonts w:ascii="宋体" w:hAnsi="宋体"/>
          <w:spacing w:val="-6"/>
          <w:sz w:val="21"/>
          <w:szCs w:val="21"/>
          <w:highlight w:val="none"/>
        </w:rPr>
        <w:t>.</w:t>
      </w:r>
      <w:r>
        <w:rPr>
          <w:rFonts w:hint="eastAsia" w:ascii="宋体" w:hAnsi="宋体"/>
          <w:spacing w:val="-6"/>
          <w:sz w:val="21"/>
          <w:szCs w:val="21"/>
          <w:highlight w:val="none"/>
        </w:rPr>
        <w:t>“投标人”系指是指响应招标、参加投标竞争的法人、其他组织；</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4</w:t>
      </w:r>
      <w:r>
        <w:rPr>
          <w:rFonts w:ascii="宋体" w:hAnsi="宋体"/>
          <w:spacing w:val="-6"/>
          <w:sz w:val="21"/>
          <w:szCs w:val="21"/>
          <w:highlight w:val="none"/>
        </w:rPr>
        <w:t>.</w:t>
      </w:r>
      <w:r>
        <w:rPr>
          <w:rFonts w:hint="eastAsia" w:ascii="宋体" w:hAnsi="宋体"/>
          <w:spacing w:val="-6"/>
          <w:sz w:val="21"/>
          <w:szCs w:val="21"/>
          <w:highlight w:val="none"/>
        </w:rPr>
        <w:t>“书面形式”包括信函、传真、电子邮件等；</w:t>
      </w:r>
    </w:p>
    <w:p>
      <w:pPr>
        <w:spacing w:line="360" w:lineRule="auto"/>
        <w:ind w:firstLine="398" w:firstLineChars="200"/>
        <w:jc w:val="left"/>
        <w:rPr>
          <w:rFonts w:ascii="宋体" w:hAnsi="宋体"/>
          <w:b/>
          <w:bCs/>
          <w:spacing w:val="-6"/>
          <w:sz w:val="21"/>
          <w:szCs w:val="21"/>
          <w:highlight w:val="none"/>
        </w:rPr>
      </w:pPr>
      <w:r>
        <w:rPr>
          <w:rFonts w:hint="eastAsia" w:ascii="宋体" w:hAnsi="宋体"/>
          <w:b/>
          <w:bCs/>
          <w:spacing w:val="-6"/>
          <w:sz w:val="21"/>
          <w:szCs w:val="21"/>
          <w:highlight w:val="none"/>
        </w:rPr>
        <w:t>5.“电子投标文件”系指通过政采云电子交易客户端（政采云投标客户端）完成投标文件编制后的投标文件；</w:t>
      </w:r>
    </w:p>
    <w:p>
      <w:pPr>
        <w:spacing w:line="360" w:lineRule="auto"/>
        <w:ind w:firstLine="398" w:firstLineChars="200"/>
        <w:jc w:val="left"/>
        <w:rPr>
          <w:rFonts w:ascii="宋体" w:hAnsi="宋体"/>
          <w:b/>
          <w:bCs/>
          <w:spacing w:val="-6"/>
          <w:sz w:val="21"/>
          <w:szCs w:val="21"/>
          <w:highlight w:val="none"/>
        </w:rPr>
      </w:pPr>
      <w:r>
        <w:rPr>
          <w:rFonts w:hint="eastAsia" w:ascii="宋体" w:hAnsi="宋体"/>
          <w:b/>
          <w:bCs/>
          <w:spacing w:val="-6"/>
          <w:sz w:val="21"/>
          <w:szCs w:val="21"/>
          <w:highlight w:val="none"/>
        </w:rPr>
        <w:t>6.“公章”除特殊说明外系指政采云电子交易客户端（政采云投标客户端）中投标人的电子签章或投标人公章；</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7.“▲”系指实质性要求条款，投标人应当做出实质性响应。</w:t>
      </w:r>
    </w:p>
    <w:p>
      <w:pPr>
        <w:spacing w:line="360" w:lineRule="auto"/>
        <w:jc w:val="left"/>
        <w:rPr>
          <w:rFonts w:ascii="宋体" w:hAnsi="宋体"/>
          <w:b/>
          <w:spacing w:val="-6"/>
          <w:sz w:val="24"/>
          <w:highlight w:val="none"/>
        </w:rPr>
      </w:pPr>
      <w:r>
        <w:rPr>
          <w:rFonts w:hint="eastAsia" w:ascii="宋体" w:hAnsi="宋体"/>
          <w:b/>
          <w:spacing w:val="-6"/>
          <w:sz w:val="24"/>
          <w:highlight w:val="none"/>
        </w:rPr>
        <w:t>（三） 招标方式</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本次招标采用公开招标方式进行。</w:t>
      </w:r>
    </w:p>
    <w:p>
      <w:pPr>
        <w:spacing w:line="360" w:lineRule="auto"/>
        <w:jc w:val="left"/>
        <w:rPr>
          <w:rFonts w:ascii="宋体" w:hAnsi="宋体"/>
          <w:b/>
          <w:spacing w:val="-6"/>
          <w:sz w:val="24"/>
          <w:highlight w:val="none"/>
        </w:rPr>
      </w:pPr>
      <w:r>
        <w:rPr>
          <w:rFonts w:hint="eastAsia" w:ascii="宋体" w:hAnsi="宋体"/>
          <w:b/>
          <w:spacing w:val="-6"/>
          <w:sz w:val="24"/>
          <w:highlight w:val="none"/>
        </w:rPr>
        <w:t>（四） 投标委托</w:t>
      </w:r>
    </w:p>
    <w:p>
      <w:pPr>
        <w:spacing w:line="360" w:lineRule="auto"/>
        <w:ind w:firstLine="396" w:firstLineChars="200"/>
        <w:rPr>
          <w:spacing w:val="-6"/>
          <w:sz w:val="21"/>
          <w:szCs w:val="21"/>
          <w:highlight w:val="none"/>
        </w:rPr>
      </w:pPr>
      <w:r>
        <w:rPr>
          <w:rFonts w:ascii="宋体" w:hAnsi="宋体"/>
          <w:spacing w:val="-6"/>
          <w:sz w:val="21"/>
          <w:szCs w:val="21"/>
          <w:highlight w:val="none"/>
        </w:rPr>
        <w:t>如投标人代表不是企业负责人，须有</w:t>
      </w:r>
      <w:r>
        <w:rPr>
          <w:rFonts w:ascii="宋体" w:hAnsi="宋体"/>
          <w:bCs/>
          <w:spacing w:val="-6"/>
          <w:sz w:val="21"/>
          <w:szCs w:val="21"/>
          <w:highlight w:val="none"/>
        </w:rPr>
        <w:t>附有企业负责人资格证明</w:t>
      </w:r>
      <w:r>
        <w:rPr>
          <w:rFonts w:hint="eastAsia" w:ascii="宋体" w:hAnsi="宋体"/>
          <w:bCs/>
          <w:spacing w:val="-6"/>
          <w:sz w:val="21"/>
          <w:szCs w:val="21"/>
          <w:highlight w:val="none"/>
        </w:rPr>
        <w:t>书</w:t>
      </w:r>
      <w:r>
        <w:rPr>
          <w:rFonts w:ascii="宋体" w:hAnsi="宋体"/>
          <w:bCs/>
          <w:spacing w:val="-6"/>
          <w:sz w:val="21"/>
          <w:szCs w:val="21"/>
          <w:highlight w:val="none"/>
        </w:rPr>
        <w:t>的企业负责人授权</w:t>
      </w:r>
      <w:r>
        <w:rPr>
          <w:rFonts w:hint="eastAsia" w:ascii="宋体" w:hAnsi="宋体"/>
          <w:bCs/>
          <w:spacing w:val="-6"/>
          <w:sz w:val="21"/>
          <w:szCs w:val="21"/>
          <w:highlight w:val="none"/>
        </w:rPr>
        <w:t>委托</w:t>
      </w:r>
      <w:r>
        <w:rPr>
          <w:rFonts w:ascii="宋体" w:hAnsi="宋体"/>
          <w:bCs/>
          <w:spacing w:val="-6"/>
          <w:sz w:val="21"/>
          <w:szCs w:val="21"/>
          <w:highlight w:val="none"/>
        </w:rPr>
        <w:t>书</w:t>
      </w:r>
      <w:r>
        <w:rPr>
          <w:rFonts w:hint="eastAsia" w:ascii="宋体" w:hAnsi="宋体"/>
          <w:spacing w:val="-6"/>
          <w:sz w:val="21"/>
          <w:szCs w:val="21"/>
          <w:highlight w:val="none"/>
        </w:rPr>
        <w:t>（详见投标文件格式）</w:t>
      </w:r>
      <w:r>
        <w:rPr>
          <w:rFonts w:hint="eastAsia"/>
          <w:spacing w:val="-6"/>
          <w:sz w:val="21"/>
          <w:szCs w:val="21"/>
          <w:highlight w:val="none"/>
        </w:rPr>
        <w:t>。</w:t>
      </w:r>
    </w:p>
    <w:p>
      <w:pPr>
        <w:spacing w:line="360" w:lineRule="auto"/>
        <w:jc w:val="left"/>
        <w:rPr>
          <w:rFonts w:ascii="宋体" w:hAnsi="宋体"/>
          <w:b/>
          <w:spacing w:val="-6"/>
          <w:sz w:val="24"/>
          <w:highlight w:val="none"/>
        </w:rPr>
      </w:pPr>
      <w:r>
        <w:rPr>
          <w:rFonts w:hint="eastAsia" w:ascii="宋体" w:hAnsi="宋体"/>
          <w:b/>
          <w:spacing w:val="-6"/>
          <w:sz w:val="24"/>
          <w:highlight w:val="none"/>
        </w:rPr>
        <w:t>（五） 投标费用</w:t>
      </w:r>
    </w:p>
    <w:p>
      <w:pPr>
        <w:spacing w:line="360" w:lineRule="auto"/>
        <w:ind w:firstLine="396" w:firstLineChars="200"/>
        <w:jc w:val="left"/>
        <w:rPr>
          <w:rFonts w:ascii="宋体" w:hAnsi="宋体"/>
          <w:spacing w:val="-6"/>
          <w:sz w:val="21"/>
          <w:szCs w:val="21"/>
          <w:highlight w:val="none"/>
        </w:rPr>
      </w:pPr>
      <w:r>
        <w:rPr>
          <w:rFonts w:ascii="宋体" w:hAnsi="宋体"/>
          <w:spacing w:val="-6"/>
          <w:sz w:val="21"/>
          <w:szCs w:val="21"/>
          <w:highlight w:val="none"/>
        </w:rPr>
        <w:t>1.</w:t>
      </w:r>
      <w:r>
        <w:rPr>
          <w:rFonts w:hint="eastAsia" w:ascii="宋体" w:hAnsi="宋体"/>
          <w:spacing w:val="-6"/>
          <w:sz w:val="21"/>
          <w:szCs w:val="21"/>
          <w:highlight w:val="none"/>
        </w:rPr>
        <w:t>不论投标结果如何，投标人均应自行承担所有与投标有关的全部费用；</w:t>
      </w:r>
    </w:p>
    <w:p>
      <w:pPr>
        <w:spacing w:line="360" w:lineRule="auto"/>
        <w:ind w:firstLine="396" w:firstLineChars="200"/>
        <w:jc w:val="left"/>
        <w:rPr>
          <w:rFonts w:hint="default" w:ascii="宋体" w:hAnsi="宋体" w:eastAsia="宋体"/>
          <w:spacing w:val="-6"/>
          <w:sz w:val="21"/>
          <w:szCs w:val="21"/>
          <w:highlight w:val="none"/>
          <w:lang w:val="en-US" w:eastAsia="zh-CN"/>
        </w:rPr>
      </w:pPr>
      <w:r>
        <w:rPr>
          <w:rFonts w:hint="eastAsia" w:ascii="宋体" w:hAnsi="宋体"/>
          <w:spacing w:val="-6"/>
          <w:sz w:val="21"/>
          <w:szCs w:val="21"/>
          <w:highlight w:val="none"/>
        </w:rPr>
        <w:t>2.中标人在中标通知书发出后七个工作日内，每家入围银行向招标代理机构交纳代理服务费，</w:t>
      </w:r>
      <w:r>
        <w:rPr>
          <w:rFonts w:ascii="宋体" w:hAnsi="宋体"/>
          <w:spacing w:val="-6"/>
          <w:sz w:val="21"/>
          <w:szCs w:val="21"/>
          <w:highlight w:val="none"/>
        </w:rPr>
        <w:t>收费标准：</w:t>
      </w:r>
      <w:r>
        <w:rPr>
          <w:rFonts w:hint="eastAsia" w:ascii="宋体" w:hAnsi="宋体"/>
          <w:spacing w:val="-6"/>
          <w:sz w:val="21"/>
          <w:szCs w:val="21"/>
          <w:highlight w:val="none"/>
          <w:lang w:val="en-US" w:eastAsia="zh-CN"/>
        </w:rPr>
        <w:t>人民币5000元/家。</w:t>
      </w:r>
    </w:p>
    <w:p>
      <w:pPr>
        <w:spacing w:line="360" w:lineRule="auto"/>
        <w:jc w:val="left"/>
        <w:rPr>
          <w:rFonts w:ascii="宋体" w:hAnsi="宋体"/>
          <w:b/>
          <w:spacing w:val="-6"/>
          <w:sz w:val="24"/>
          <w:highlight w:val="none"/>
        </w:rPr>
      </w:pPr>
      <w:r>
        <w:rPr>
          <w:rFonts w:hint="eastAsia" w:ascii="宋体" w:hAnsi="宋体"/>
          <w:b/>
          <w:spacing w:val="-6"/>
          <w:sz w:val="24"/>
          <w:highlight w:val="none"/>
        </w:rPr>
        <w:t>（六） 联合体投标</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本项目不接受联合体投标。</w:t>
      </w:r>
    </w:p>
    <w:p>
      <w:pPr>
        <w:spacing w:line="360" w:lineRule="auto"/>
        <w:jc w:val="left"/>
        <w:rPr>
          <w:rFonts w:ascii="宋体" w:hAnsi="宋体"/>
          <w:b/>
          <w:spacing w:val="-6"/>
          <w:sz w:val="24"/>
          <w:highlight w:val="none"/>
        </w:rPr>
      </w:pPr>
      <w:r>
        <w:rPr>
          <w:rFonts w:hint="eastAsia" w:ascii="宋体" w:hAnsi="宋体"/>
          <w:b/>
          <w:spacing w:val="-6"/>
          <w:sz w:val="24"/>
          <w:highlight w:val="none"/>
        </w:rPr>
        <w:t>（七） 转包</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本项目不允许转包。</w:t>
      </w:r>
    </w:p>
    <w:p>
      <w:pPr>
        <w:spacing w:line="360" w:lineRule="auto"/>
        <w:rPr>
          <w:rFonts w:ascii="宋体" w:hAnsi="宋体" w:cs="宋体"/>
          <w:b/>
          <w:spacing w:val="-6"/>
          <w:kern w:val="0"/>
          <w:sz w:val="24"/>
          <w:highlight w:val="none"/>
        </w:rPr>
      </w:pPr>
      <w:r>
        <w:rPr>
          <w:rFonts w:hint="eastAsia" w:ascii="宋体" w:hAnsi="宋体" w:cs="宋体"/>
          <w:b/>
          <w:spacing w:val="-6"/>
          <w:kern w:val="0"/>
          <w:sz w:val="24"/>
          <w:highlight w:val="none"/>
        </w:rPr>
        <w:t>（八） 特别说明</w:t>
      </w:r>
    </w:p>
    <w:p>
      <w:pPr>
        <w:pStyle w:val="2"/>
        <w:spacing w:line="360" w:lineRule="auto"/>
        <w:ind w:firstLine="396" w:firstLineChars="200"/>
        <w:jc w:val="left"/>
        <w:rPr>
          <w:rFonts w:hAnsi="宋体"/>
          <w:spacing w:val="-6"/>
          <w:sz w:val="21"/>
          <w:szCs w:val="21"/>
          <w:highlight w:val="none"/>
        </w:rPr>
      </w:pPr>
      <w:r>
        <w:rPr>
          <w:rFonts w:hAnsi="宋体"/>
          <w:spacing w:val="-6"/>
          <w:sz w:val="21"/>
          <w:szCs w:val="21"/>
          <w:highlight w:val="none"/>
        </w:rPr>
        <w:t>▲</w:t>
      </w:r>
      <w:r>
        <w:rPr>
          <w:rFonts w:hint="eastAsia" w:hAnsi="宋体"/>
          <w:spacing w:val="-6"/>
          <w:sz w:val="21"/>
          <w:szCs w:val="21"/>
          <w:highlight w:val="none"/>
        </w:rPr>
        <w:t>1</w:t>
      </w:r>
      <w:r>
        <w:rPr>
          <w:rFonts w:hAnsi="宋体"/>
          <w:spacing w:val="-6"/>
          <w:sz w:val="21"/>
          <w:szCs w:val="21"/>
          <w:highlight w:val="none"/>
        </w:rPr>
        <w:t>.投标人应仔细阅读招标文件的所有内容，按照招标文件的要求提交投标文件，并对所提供的全部资料的真实性承担法律责任。</w:t>
      </w:r>
    </w:p>
    <w:p>
      <w:pPr>
        <w:pStyle w:val="2"/>
        <w:spacing w:line="360" w:lineRule="auto"/>
        <w:ind w:firstLine="396" w:firstLineChars="200"/>
        <w:jc w:val="left"/>
        <w:rPr>
          <w:rFonts w:hAnsi="宋体"/>
          <w:spacing w:val="-6"/>
          <w:sz w:val="21"/>
          <w:szCs w:val="21"/>
          <w:highlight w:val="none"/>
        </w:rPr>
      </w:pPr>
      <w:r>
        <w:rPr>
          <w:rFonts w:hAnsi="宋体"/>
          <w:spacing w:val="-6"/>
          <w:sz w:val="21"/>
          <w:szCs w:val="21"/>
          <w:highlight w:val="none"/>
        </w:rPr>
        <w:t>▲</w:t>
      </w:r>
      <w:r>
        <w:rPr>
          <w:rFonts w:hint="eastAsia" w:hAnsi="宋体"/>
          <w:spacing w:val="-6"/>
          <w:sz w:val="21"/>
          <w:szCs w:val="21"/>
          <w:highlight w:val="none"/>
        </w:rPr>
        <w:t>2</w:t>
      </w:r>
      <w:r>
        <w:rPr>
          <w:rFonts w:hAnsi="宋体"/>
          <w:spacing w:val="-6"/>
          <w:sz w:val="21"/>
          <w:szCs w:val="21"/>
          <w:highlight w:val="none"/>
        </w:rPr>
        <w:t>.</w:t>
      </w:r>
      <w:r>
        <w:rPr>
          <w:rFonts w:hint="eastAsia" w:hAnsi="宋体"/>
          <w:spacing w:val="-6"/>
          <w:sz w:val="21"/>
          <w:szCs w:val="21"/>
          <w:highlight w:val="none"/>
        </w:rPr>
        <w:t>单位负责人为同一人或者存在直接控股、管理关系的不同供应商，不得参加同一合同项下的采购活动。</w:t>
      </w:r>
    </w:p>
    <w:p>
      <w:pPr>
        <w:pStyle w:val="2"/>
        <w:spacing w:line="360" w:lineRule="auto"/>
        <w:ind w:firstLine="0"/>
        <w:jc w:val="center"/>
        <w:outlineLvl w:val="1"/>
        <w:rPr>
          <w:rFonts w:hAnsi="宋体"/>
          <w:b/>
          <w:spacing w:val="-6"/>
          <w:sz w:val="32"/>
          <w:szCs w:val="32"/>
          <w:highlight w:val="none"/>
        </w:rPr>
      </w:pPr>
      <w:r>
        <w:rPr>
          <w:rFonts w:hAnsi="宋体"/>
          <w:b/>
          <w:spacing w:val="-6"/>
          <w:sz w:val="32"/>
          <w:szCs w:val="32"/>
          <w:highlight w:val="none"/>
        </w:rPr>
        <w:br w:type="page"/>
      </w:r>
      <w:r>
        <w:rPr>
          <w:rFonts w:hAnsi="宋体"/>
          <w:b/>
          <w:spacing w:val="-6"/>
          <w:sz w:val="32"/>
          <w:szCs w:val="32"/>
          <w:highlight w:val="none"/>
        </w:rPr>
        <w:t>二</w:t>
      </w:r>
      <w:r>
        <w:rPr>
          <w:rFonts w:hint="eastAsia" w:hAnsi="宋体"/>
          <w:b/>
          <w:spacing w:val="-6"/>
          <w:sz w:val="32"/>
          <w:szCs w:val="32"/>
          <w:highlight w:val="none"/>
        </w:rPr>
        <w:t>、招标文件</w:t>
      </w:r>
    </w:p>
    <w:p>
      <w:pPr>
        <w:spacing w:line="360" w:lineRule="auto"/>
        <w:jc w:val="left"/>
        <w:rPr>
          <w:rFonts w:ascii="宋体" w:hAnsi="宋体"/>
          <w:b/>
          <w:spacing w:val="-6"/>
          <w:sz w:val="24"/>
          <w:highlight w:val="none"/>
        </w:rPr>
      </w:pPr>
      <w:r>
        <w:rPr>
          <w:rFonts w:hint="eastAsia" w:ascii="宋体" w:hAnsi="宋体"/>
          <w:b/>
          <w:spacing w:val="-6"/>
          <w:sz w:val="24"/>
          <w:highlight w:val="none"/>
        </w:rPr>
        <w:t>（一） 招标文件的构成。本招标文件由以下部分组成：</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1.招标公告</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2.招标需求</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3.投标人须知</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4.评标办法及评分标准</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5.拟签订的协议文本</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6.投标文件格式</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7.本项目招标文件的澄清、答复、修改、补充的内容</w:t>
      </w:r>
    </w:p>
    <w:p>
      <w:pPr>
        <w:spacing w:line="360" w:lineRule="auto"/>
        <w:jc w:val="left"/>
        <w:rPr>
          <w:rFonts w:ascii="宋体" w:hAnsi="宋体"/>
          <w:spacing w:val="-6"/>
          <w:sz w:val="24"/>
          <w:highlight w:val="none"/>
        </w:rPr>
      </w:pPr>
      <w:r>
        <w:rPr>
          <w:rFonts w:hint="eastAsia" w:ascii="宋体" w:hAnsi="宋体"/>
          <w:b/>
          <w:spacing w:val="-6"/>
          <w:sz w:val="24"/>
          <w:highlight w:val="none"/>
        </w:rPr>
        <w:t>（二） 投标人的风险</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投标人没有按照招标文件要求提供全部资料，或者投标人没有对招标文件在各方面作出实质性响应是投标人的风险，并可能导致其投标被拒绝。</w:t>
      </w:r>
    </w:p>
    <w:p>
      <w:pPr>
        <w:spacing w:line="360" w:lineRule="auto"/>
        <w:jc w:val="left"/>
        <w:rPr>
          <w:rFonts w:ascii="宋体" w:hAnsi="宋体"/>
          <w:b/>
          <w:spacing w:val="-6"/>
          <w:sz w:val="24"/>
          <w:highlight w:val="none"/>
        </w:rPr>
      </w:pPr>
      <w:r>
        <w:rPr>
          <w:rFonts w:hint="eastAsia" w:ascii="宋体" w:hAnsi="宋体"/>
          <w:b/>
          <w:spacing w:val="-6"/>
          <w:sz w:val="24"/>
          <w:highlight w:val="none"/>
        </w:rPr>
        <w:t>（三） 招标文件的澄清与修改</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1</w:t>
      </w:r>
      <w:r>
        <w:rPr>
          <w:rFonts w:hAnsi="宋体"/>
          <w:spacing w:val="-6"/>
          <w:sz w:val="21"/>
          <w:szCs w:val="21"/>
          <w:highlight w:val="none"/>
        </w:rPr>
        <w:t>.招标人或者招标代理机构可以对已发出的招标文件进行必要的澄清或者修改</w:t>
      </w:r>
      <w:r>
        <w:rPr>
          <w:rFonts w:hint="eastAsia" w:hAnsi="宋体"/>
          <w:spacing w:val="-6"/>
          <w:sz w:val="21"/>
          <w:szCs w:val="21"/>
          <w:highlight w:val="none"/>
        </w:rPr>
        <w:t>，</w:t>
      </w:r>
      <w:r>
        <w:rPr>
          <w:rFonts w:hAnsi="宋体"/>
          <w:spacing w:val="-6"/>
          <w:sz w:val="21"/>
          <w:szCs w:val="21"/>
          <w:highlight w:val="none"/>
        </w:rPr>
        <w:t>澄清或者修改</w:t>
      </w:r>
      <w:r>
        <w:rPr>
          <w:rFonts w:hint="eastAsia" w:hAnsi="宋体"/>
          <w:spacing w:val="-6"/>
          <w:sz w:val="21"/>
          <w:szCs w:val="21"/>
          <w:highlight w:val="none"/>
        </w:rPr>
        <w:t>会</w:t>
      </w:r>
      <w:r>
        <w:rPr>
          <w:rFonts w:hAnsi="宋体"/>
          <w:spacing w:val="-6"/>
          <w:sz w:val="21"/>
          <w:szCs w:val="21"/>
          <w:highlight w:val="none"/>
        </w:rPr>
        <w:t>在原公告发布媒体上发布澄清公告</w:t>
      </w:r>
      <w:r>
        <w:rPr>
          <w:rFonts w:hint="eastAsia" w:hAnsi="宋体"/>
          <w:spacing w:val="-6"/>
          <w:sz w:val="21"/>
          <w:szCs w:val="21"/>
          <w:highlight w:val="none"/>
        </w:rPr>
        <w:t>，</w:t>
      </w:r>
      <w:r>
        <w:rPr>
          <w:rFonts w:hAnsi="宋体"/>
          <w:spacing w:val="-6"/>
          <w:sz w:val="21"/>
          <w:szCs w:val="21"/>
          <w:highlight w:val="none"/>
        </w:rPr>
        <w:t>澄清或者修改的内容为招标文件的组成部分。</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澄清或者修改的内容可能影响投标文件编制的，招标人或者招标代理机构会在投标截止时间至少5个</w:t>
      </w:r>
      <w:r>
        <w:rPr>
          <w:rFonts w:hAnsi="宋体"/>
          <w:spacing w:val="-6"/>
          <w:sz w:val="21"/>
          <w:szCs w:val="21"/>
          <w:highlight w:val="none"/>
        </w:rPr>
        <w:t>工作</w:t>
      </w:r>
      <w:r>
        <w:rPr>
          <w:rFonts w:hint="eastAsia" w:hAnsi="宋体"/>
          <w:spacing w:val="-6"/>
          <w:sz w:val="21"/>
          <w:szCs w:val="21"/>
          <w:highlight w:val="none"/>
        </w:rPr>
        <w:t>日前，以书面形式通知所有获取招标文件的潜在投标人；不足5个</w:t>
      </w:r>
      <w:r>
        <w:rPr>
          <w:rFonts w:hAnsi="宋体"/>
          <w:spacing w:val="-6"/>
          <w:sz w:val="21"/>
          <w:szCs w:val="21"/>
          <w:highlight w:val="none"/>
        </w:rPr>
        <w:t>工作</w:t>
      </w:r>
      <w:r>
        <w:rPr>
          <w:rFonts w:hint="eastAsia" w:hAnsi="宋体"/>
          <w:spacing w:val="-6"/>
          <w:sz w:val="21"/>
          <w:szCs w:val="21"/>
          <w:highlight w:val="none"/>
        </w:rPr>
        <w:t>日的，招标人或者招标代理机构会顺延提交投标文件的截止时间。</w:t>
      </w:r>
    </w:p>
    <w:p>
      <w:pPr>
        <w:pStyle w:val="2"/>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2.招标文件的修改将以书面形式通知所有购买招标文件的投标人，并对其具有约束力。投标人在收到上述通知后，应立即向招标代理机构回函确认。若无书面回函确认，视同投标人已收到招标文件修改的通知，并受其约束。</w:t>
      </w:r>
    </w:p>
    <w:p>
      <w:pPr>
        <w:pStyle w:val="2"/>
        <w:spacing w:line="360" w:lineRule="auto"/>
        <w:ind w:firstLine="0"/>
        <w:jc w:val="center"/>
        <w:outlineLvl w:val="1"/>
        <w:rPr>
          <w:rFonts w:hAnsi="宋体"/>
          <w:spacing w:val="-6"/>
          <w:sz w:val="21"/>
          <w:szCs w:val="21"/>
          <w:highlight w:val="none"/>
        </w:rPr>
      </w:pPr>
      <w:r>
        <w:rPr>
          <w:rFonts w:hAnsi="宋体"/>
          <w:spacing w:val="-6"/>
          <w:sz w:val="21"/>
          <w:szCs w:val="21"/>
          <w:highlight w:val="none"/>
        </w:rPr>
        <w:br w:type="page"/>
      </w:r>
      <w:r>
        <w:rPr>
          <w:rFonts w:hAnsi="宋体"/>
          <w:b/>
          <w:spacing w:val="-6"/>
          <w:sz w:val="32"/>
          <w:szCs w:val="32"/>
          <w:highlight w:val="none"/>
        </w:rPr>
        <w:t>三</w:t>
      </w:r>
      <w:r>
        <w:rPr>
          <w:rFonts w:hint="eastAsia" w:hAnsi="宋体"/>
          <w:b/>
          <w:spacing w:val="-6"/>
          <w:sz w:val="32"/>
          <w:szCs w:val="32"/>
          <w:highlight w:val="none"/>
        </w:rPr>
        <w:t>、</w:t>
      </w:r>
      <w:r>
        <w:rPr>
          <w:rFonts w:hAnsi="宋体"/>
          <w:b/>
          <w:spacing w:val="-6"/>
          <w:sz w:val="32"/>
          <w:szCs w:val="32"/>
          <w:highlight w:val="none"/>
        </w:rPr>
        <w:t>投标文件的编制</w:t>
      </w:r>
    </w:p>
    <w:p>
      <w:pPr>
        <w:spacing w:line="360" w:lineRule="auto"/>
        <w:jc w:val="left"/>
        <w:rPr>
          <w:rFonts w:ascii="宋体" w:hAnsi="宋体"/>
          <w:b/>
          <w:spacing w:val="-6"/>
          <w:sz w:val="24"/>
          <w:highlight w:val="none"/>
        </w:rPr>
      </w:pPr>
      <w:r>
        <w:rPr>
          <w:rFonts w:hint="eastAsia" w:ascii="宋体" w:hAnsi="宋体"/>
          <w:b/>
          <w:spacing w:val="-6"/>
          <w:sz w:val="24"/>
          <w:highlight w:val="none"/>
        </w:rPr>
        <w:t>（一） 投标文件的组成</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投标文件由：资格文件、报价文件、商务和技术文件组成（格式详见招标文件第六章）。</w:t>
      </w:r>
    </w:p>
    <w:p>
      <w:pPr>
        <w:spacing w:line="360" w:lineRule="auto"/>
        <w:ind w:firstLine="398" w:firstLineChars="200"/>
        <w:rPr>
          <w:rFonts w:ascii="宋体" w:hAnsi="宋体"/>
          <w:b/>
          <w:bCs/>
          <w:spacing w:val="-6"/>
          <w:sz w:val="21"/>
          <w:szCs w:val="21"/>
          <w:highlight w:val="none"/>
        </w:rPr>
      </w:pPr>
      <w:r>
        <w:rPr>
          <w:rFonts w:hint="eastAsia" w:ascii="宋体" w:hAnsi="宋体"/>
          <w:b/>
          <w:bCs/>
          <w:spacing w:val="-6"/>
          <w:sz w:val="21"/>
          <w:szCs w:val="21"/>
          <w:highlight w:val="none"/>
        </w:rPr>
        <w:t>1.资格文件（报名登记部分）：</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（1）有效的法人或者其他组织的营业执照等证明文件（扫描件加盖公章）、中华人民共和国金融许可证（扫描件加盖公章）</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（2）中标后对本项目指定的一家杭州市区分支机构作为存款银行的承诺书，承诺在合同期内不得随意转移（包含但不限于杭分支机构的地址，联系人等信息）（格式自拟）</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（3）参加采购活动前3年内在经营活动中没有重大违法记录的书面声明（格式自拟）</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（4）上一年度由人民银行杭州中心支行出具综合评价证明材料（</w:t>
      </w:r>
      <w:r>
        <w:rPr>
          <w:rFonts w:hint="eastAsia" w:ascii="宋体" w:hAnsi="宋体" w:cs="宋体"/>
          <w:sz w:val="21"/>
          <w:szCs w:val="21"/>
          <w:highlight w:val="none"/>
        </w:rPr>
        <w:t>如因人民银行原因无法提供上年度（202</w:t>
      </w:r>
      <w:r>
        <w:rPr>
          <w:rFonts w:hint="eastAsia" w:ascii="宋体" w:hAnsi="宋体" w:cs="宋体"/>
          <w:sz w:val="21"/>
          <w:szCs w:val="21"/>
          <w:highlight w:val="none"/>
          <w:lang w:val="en-US" w:eastAsia="zh-CN"/>
        </w:rPr>
        <w:t>2</w:t>
      </w:r>
      <w:r>
        <w:rPr>
          <w:rFonts w:hint="eastAsia" w:ascii="宋体" w:hAnsi="宋体" w:cs="宋体"/>
          <w:sz w:val="21"/>
          <w:szCs w:val="21"/>
          <w:highlight w:val="none"/>
        </w:rPr>
        <w:t>年度）的综合评价可提供202</w:t>
      </w:r>
      <w:r>
        <w:rPr>
          <w:rFonts w:hint="eastAsia" w:ascii="宋体" w:hAnsi="宋体" w:cs="宋体"/>
          <w:sz w:val="21"/>
          <w:szCs w:val="21"/>
          <w:highlight w:val="none"/>
          <w:lang w:val="en-US" w:eastAsia="zh-CN"/>
        </w:rPr>
        <w:t>1</w:t>
      </w:r>
      <w:r>
        <w:rPr>
          <w:rFonts w:hint="eastAsia" w:ascii="宋体" w:hAnsi="宋体" w:cs="宋体"/>
          <w:sz w:val="21"/>
          <w:szCs w:val="21"/>
          <w:highlight w:val="none"/>
        </w:rPr>
        <w:t>年度的材料文件，并说明无法提供202</w:t>
      </w:r>
      <w:r>
        <w:rPr>
          <w:rFonts w:hint="eastAsia" w:ascii="宋体" w:hAnsi="宋体" w:cs="宋体"/>
          <w:sz w:val="21"/>
          <w:szCs w:val="21"/>
          <w:highlight w:val="none"/>
          <w:lang w:val="en-US" w:eastAsia="zh-CN"/>
        </w:rPr>
        <w:t>2</w:t>
      </w:r>
      <w:r>
        <w:rPr>
          <w:rFonts w:hint="eastAsia" w:ascii="宋体" w:hAnsi="宋体" w:cs="宋体"/>
          <w:sz w:val="21"/>
          <w:szCs w:val="21"/>
          <w:highlight w:val="none"/>
        </w:rPr>
        <w:t>年度人民银行的综合评价的相关原因，出具机构对证明的真实性负责，不得虚假提供，虚假提供一经发现则取消中标资格。</w:t>
      </w:r>
      <w:r>
        <w:rPr>
          <w:rFonts w:hint="eastAsia" w:ascii="宋体" w:hAnsi="宋体"/>
          <w:spacing w:val="-6"/>
          <w:sz w:val="21"/>
          <w:szCs w:val="21"/>
          <w:highlight w:val="none"/>
        </w:rPr>
        <w:t>）</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（5）提供投标人为省级分行的声明书或省级分行针对本项目的授权委托书（投标人为总行无需提供）</w:t>
      </w:r>
    </w:p>
    <w:p>
      <w:pPr>
        <w:spacing w:line="360" w:lineRule="auto"/>
        <w:ind w:firstLine="398" w:firstLineChars="200"/>
        <w:rPr>
          <w:rFonts w:ascii="宋体" w:hAnsi="宋体"/>
          <w:b/>
          <w:bCs/>
          <w:spacing w:val="-6"/>
          <w:sz w:val="21"/>
          <w:szCs w:val="21"/>
          <w:highlight w:val="none"/>
        </w:rPr>
      </w:pPr>
      <w:r>
        <w:rPr>
          <w:rFonts w:hint="eastAsia" w:ascii="宋体" w:hAnsi="宋体"/>
          <w:b/>
          <w:bCs/>
          <w:spacing w:val="-6"/>
          <w:sz w:val="21"/>
          <w:szCs w:val="21"/>
          <w:highlight w:val="none"/>
        </w:rPr>
        <w:t>2.报价文件：</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（1）开标一览表</w:t>
      </w:r>
    </w:p>
    <w:p>
      <w:pPr>
        <w:snapToGrid w:val="0"/>
        <w:spacing w:line="360" w:lineRule="auto"/>
        <w:ind w:firstLine="398" w:firstLineChars="200"/>
        <w:jc w:val="left"/>
        <w:rPr>
          <w:rFonts w:ascii="宋体" w:hAnsi="宋体"/>
          <w:b/>
          <w:spacing w:val="-6"/>
          <w:sz w:val="21"/>
          <w:szCs w:val="21"/>
          <w:highlight w:val="none"/>
        </w:rPr>
      </w:pPr>
      <w:r>
        <w:rPr>
          <w:rFonts w:hint="eastAsia" w:ascii="宋体" w:hAnsi="宋体"/>
          <w:b/>
          <w:spacing w:val="-6"/>
          <w:sz w:val="21"/>
          <w:szCs w:val="21"/>
          <w:highlight w:val="none"/>
        </w:rPr>
        <w:t>3</w:t>
      </w:r>
      <w:r>
        <w:rPr>
          <w:rFonts w:ascii="宋体" w:hAnsi="宋体"/>
          <w:b/>
          <w:spacing w:val="-6"/>
          <w:sz w:val="21"/>
          <w:szCs w:val="21"/>
          <w:highlight w:val="none"/>
        </w:rPr>
        <w:t>.</w:t>
      </w:r>
      <w:r>
        <w:rPr>
          <w:rFonts w:hint="eastAsia" w:ascii="宋体" w:hAnsi="宋体"/>
          <w:b/>
          <w:spacing w:val="-6"/>
          <w:sz w:val="21"/>
          <w:szCs w:val="21"/>
          <w:highlight w:val="none"/>
        </w:rPr>
        <w:t>商务和技术文件：</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1</w:t>
      </w:r>
      <w:r>
        <w:rPr>
          <w:rFonts w:hint="eastAsia" w:ascii="宋体" w:hAnsi="宋体"/>
          <w:spacing w:val="-6"/>
          <w:sz w:val="21"/>
          <w:szCs w:val="21"/>
          <w:highlight w:val="none"/>
        </w:rPr>
        <w:t>）投标函</w:t>
      </w:r>
    </w:p>
    <w:p>
      <w:pPr>
        <w:spacing w:line="360" w:lineRule="auto"/>
        <w:ind w:firstLine="396" w:firstLineChars="200"/>
        <w:rPr>
          <w:rFonts w:ascii="宋体" w:hAnsi="宋体"/>
          <w:b/>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2</w:t>
      </w:r>
      <w:r>
        <w:rPr>
          <w:rFonts w:hint="eastAsia" w:ascii="宋体" w:hAnsi="宋体"/>
          <w:spacing w:val="-6"/>
          <w:sz w:val="21"/>
          <w:szCs w:val="21"/>
          <w:highlight w:val="none"/>
        </w:rPr>
        <w:t>）</w:t>
      </w:r>
      <w:r>
        <w:rPr>
          <w:rFonts w:ascii="宋体" w:hAnsi="宋体"/>
          <w:spacing w:val="-6"/>
          <w:sz w:val="21"/>
          <w:szCs w:val="21"/>
          <w:highlight w:val="none"/>
        </w:rPr>
        <w:t>企业负责人资格证明书</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3</w:t>
      </w:r>
      <w:r>
        <w:rPr>
          <w:rFonts w:hint="eastAsia" w:ascii="宋体" w:hAnsi="宋体"/>
          <w:spacing w:val="-6"/>
          <w:sz w:val="21"/>
          <w:szCs w:val="21"/>
          <w:highlight w:val="none"/>
        </w:rPr>
        <w:t>）企业负责人授权委托书</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4</w:t>
      </w:r>
      <w:r>
        <w:rPr>
          <w:rFonts w:hint="eastAsia" w:ascii="宋体" w:hAnsi="宋体"/>
          <w:spacing w:val="-6"/>
          <w:sz w:val="21"/>
          <w:szCs w:val="21"/>
          <w:highlight w:val="none"/>
        </w:rPr>
        <w:t>）投标声明书</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5</w:t>
      </w:r>
      <w:r>
        <w:rPr>
          <w:rFonts w:hint="eastAsia" w:ascii="宋体" w:hAnsi="宋体"/>
          <w:spacing w:val="-6"/>
          <w:sz w:val="21"/>
          <w:szCs w:val="21"/>
          <w:highlight w:val="none"/>
        </w:rPr>
        <w:t>）廉政承诺书</w:t>
      </w:r>
    </w:p>
    <w:p>
      <w:pPr>
        <w:spacing w:line="360" w:lineRule="auto"/>
        <w:ind w:firstLine="396" w:firstLineChars="200"/>
        <w:rPr>
          <w:rFonts w:hint="eastAsia" w:ascii="宋体" w:hAnsi="宋体"/>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6</w:t>
      </w:r>
      <w:r>
        <w:rPr>
          <w:rFonts w:hint="eastAsia" w:ascii="宋体" w:hAnsi="宋体"/>
          <w:spacing w:val="-6"/>
          <w:sz w:val="21"/>
          <w:szCs w:val="21"/>
          <w:highlight w:val="none"/>
        </w:rPr>
        <w:t>）既往服务情况</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lang w:eastAsia="zh-CN"/>
        </w:rPr>
        <w:t>（</w:t>
      </w:r>
      <w:r>
        <w:rPr>
          <w:rFonts w:hint="eastAsia" w:ascii="宋体" w:hAnsi="宋体"/>
          <w:spacing w:val="-6"/>
          <w:sz w:val="21"/>
          <w:szCs w:val="21"/>
          <w:highlight w:val="none"/>
          <w:lang w:val="en-US" w:eastAsia="zh-CN"/>
        </w:rPr>
        <w:t>7</w:t>
      </w:r>
      <w:r>
        <w:rPr>
          <w:rFonts w:hint="eastAsia" w:ascii="宋体" w:hAnsi="宋体"/>
          <w:spacing w:val="-6"/>
          <w:sz w:val="21"/>
          <w:szCs w:val="21"/>
          <w:highlight w:val="none"/>
          <w:lang w:eastAsia="zh-CN"/>
        </w:rPr>
        <w:t>）</w:t>
      </w:r>
      <w:r>
        <w:rPr>
          <w:rFonts w:hint="eastAsia" w:ascii="宋体" w:hAnsi="宋体"/>
          <w:spacing w:val="-6"/>
          <w:sz w:val="21"/>
          <w:szCs w:val="21"/>
          <w:highlight w:val="none"/>
        </w:rPr>
        <w:t>发展服务方案承诺</w:t>
      </w:r>
    </w:p>
    <w:p>
      <w:pPr>
        <w:spacing w:line="360" w:lineRule="auto"/>
        <w:jc w:val="left"/>
        <w:rPr>
          <w:rFonts w:ascii="宋体" w:hAnsi="宋体"/>
          <w:b/>
          <w:spacing w:val="-6"/>
          <w:sz w:val="24"/>
          <w:highlight w:val="none"/>
        </w:rPr>
      </w:pPr>
      <w:r>
        <w:rPr>
          <w:rFonts w:hint="eastAsia" w:ascii="宋体" w:hAnsi="宋体"/>
          <w:b/>
          <w:spacing w:val="-6"/>
          <w:sz w:val="24"/>
          <w:highlight w:val="none"/>
        </w:rPr>
        <w:t>（二） 投标文件的签署和份数</w:t>
      </w:r>
    </w:p>
    <w:p>
      <w:pPr>
        <w:spacing w:line="360" w:lineRule="auto"/>
        <w:ind w:firstLine="396" w:firstLineChars="200"/>
        <w:jc w:val="left"/>
        <w:rPr>
          <w:rFonts w:ascii="宋体" w:hAnsi="宋体"/>
          <w:b/>
          <w:bCs/>
          <w:spacing w:val="-6"/>
          <w:sz w:val="21"/>
          <w:szCs w:val="21"/>
          <w:highlight w:val="none"/>
        </w:rPr>
      </w:pPr>
      <w:r>
        <w:rPr>
          <w:rFonts w:hint="eastAsia" w:ascii="宋体" w:hAnsi="宋体"/>
          <w:spacing w:val="-6"/>
          <w:sz w:val="21"/>
          <w:szCs w:val="21"/>
          <w:highlight w:val="none"/>
        </w:rPr>
        <w:t>1.投标人应按照招标文件和政府采购云平台的要求，根据投标文件的组成规定的内容及顺序通过政采云电子交易客户端（政采云投标客户端）编制投标文件，投标文件内容不完整、编排混乱导致投标文件被误读、漏读或者查找不到相关内容的，是投标人的责任。</w:t>
      </w:r>
      <w:r>
        <w:rPr>
          <w:rFonts w:hint="eastAsia" w:ascii="宋体" w:hAnsi="宋体"/>
          <w:b/>
          <w:bCs/>
          <w:spacing w:val="-6"/>
          <w:sz w:val="21"/>
          <w:szCs w:val="21"/>
          <w:highlight w:val="none"/>
        </w:rPr>
        <w:t>其中资格文件、商务技术文件中不得出现投标报价，如因投标人原因提前泄露投标报价，是投标人的责任。</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2.投标文件须由投标人在规定位置加盖公章并由投标人</w:t>
      </w:r>
      <w:r>
        <w:rPr>
          <w:rFonts w:ascii="宋体" w:hAnsi="宋体"/>
          <w:spacing w:val="-6"/>
          <w:sz w:val="21"/>
          <w:szCs w:val="21"/>
          <w:highlight w:val="none"/>
        </w:rPr>
        <w:t>代表</w:t>
      </w:r>
      <w:r>
        <w:rPr>
          <w:rFonts w:hint="eastAsia" w:ascii="宋体" w:hAnsi="宋体"/>
          <w:spacing w:val="-6"/>
          <w:sz w:val="21"/>
          <w:szCs w:val="21"/>
          <w:highlight w:val="none"/>
        </w:rPr>
        <w:t>签署，投标人应写全称。</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3.投标文件不得涂改，若有修改错漏处，须由投标人代表签字并加盖公章。投标文件因字迹潦草或表达不清所引起的后果由投标人负责。</w:t>
      </w:r>
    </w:p>
    <w:p>
      <w:pPr>
        <w:spacing w:line="360" w:lineRule="auto"/>
        <w:ind w:firstLine="398" w:firstLineChars="200"/>
        <w:jc w:val="left"/>
        <w:rPr>
          <w:rFonts w:ascii="宋体" w:hAnsi="宋体"/>
          <w:b/>
          <w:bCs/>
          <w:spacing w:val="-6"/>
          <w:sz w:val="21"/>
          <w:szCs w:val="21"/>
          <w:highlight w:val="none"/>
        </w:rPr>
      </w:pPr>
      <w:r>
        <w:rPr>
          <w:rFonts w:hint="eastAsia" w:ascii="宋体" w:hAnsi="宋体"/>
          <w:b/>
          <w:bCs/>
          <w:spacing w:val="-6"/>
          <w:sz w:val="21"/>
          <w:szCs w:val="21"/>
          <w:highlight w:val="none"/>
        </w:rPr>
        <w:t>4.投标文件份数：</w:t>
      </w:r>
    </w:p>
    <w:p>
      <w:pPr>
        <w:spacing w:line="360" w:lineRule="auto"/>
        <w:ind w:firstLine="398" w:firstLineChars="200"/>
        <w:jc w:val="left"/>
        <w:rPr>
          <w:rFonts w:ascii="宋体" w:hAnsi="宋体"/>
          <w:b/>
          <w:bCs/>
          <w:spacing w:val="-6"/>
          <w:sz w:val="21"/>
          <w:szCs w:val="21"/>
          <w:highlight w:val="none"/>
        </w:rPr>
      </w:pPr>
      <w:r>
        <w:rPr>
          <w:rFonts w:hint="eastAsia" w:ascii="宋体" w:hAnsi="宋体"/>
          <w:b/>
          <w:bCs/>
          <w:spacing w:val="-6"/>
          <w:sz w:val="21"/>
          <w:szCs w:val="21"/>
          <w:highlight w:val="none"/>
        </w:rPr>
        <w:t>电子投标文件：政府采购云平台在线上传一份。</w:t>
      </w:r>
    </w:p>
    <w:p>
      <w:pPr>
        <w:spacing w:line="360" w:lineRule="auto"/>
        <w:ind w:firstLine="422" w:firstLineChars="200"/>
        <w:jc w:val="left"/>
        <w:rPr>
          <w:rFonts w:ascii="宋体" w:hAnsi="宋体"/>
          <w:b/>
          <w:bCs/>
          <w:sz w:val="21"/>
          <w:szCs w:val="21"/>
          <w:highlight w:val="none"/>
        </w:rPr>
      </w:pPr>
      <w:r>
        <w:rPr>
          <w:rFonts w:hint="eastAsia" w:ascii="宋体" w:hAnsi="宋体"/>
          <w:b/>
          <w:bCs/>
          <w:sz w:val="21"/>
          <w:szCs w:val="21"/>
          <w:highlight w:val="none"/>
        </w:rPr>
        <w:t>备注：</w:t>
      </w:r>
    </w:p>
    <w:p>
      <w:pPr>
        <w:spacing w:line="360" w:lineRule="auto"/>
        <w:ind w:firstLine="422" w:firstLineChars="200"/>
        <w:jc w:val="left"/>
        <w:rPr>
          <w:rFonts w:ascii="宋体" w:hAnsi="宋体"/>
          <w:b/>
          <w:spacing w:val="-6"/>
          <w:sz w:val="24"/>
          <w:highlight w:val="none"/>
        </w:rPr>
      </w:pPr>
      <w:r>
        <w:rPr>
          <w:rFonts w:hint="eastAsia" w:ascii="宋体" w:hAnsi="宋体"/>
          <w:b/>
          <w:bCs/>
          <w:sz w:val="21"/>
          <w:szCs w:val="21"/>
          <w:highlight w:val="none"/>
        </w:rPr>
        <w:t>投标人可通过浙江省“电子交易/不见面开评标”学习专题提前进行专题学习，熟悉操作，避免影响采购活动（</w:t>
      </w:r>
      <w:r>
        <w:rPr>
          <w:highlight w:val="none"/>
        </w:rPr>
        <w:fldChar w:fldCharType="begin"/>
      </w:r>
      <w:r>
        <w:rPr>
          <w:highlight w:val="none"/>
        </w:rPr>
        <w:instrText xml:space="preserve"> HYPERLINK "https://edu.zcygov.cn/luban/e-biding" </w:instrText>
      </w:r>
      <w:r>
        <w:rPr>
          <w:highlight w:val="none"/>
        </w:rPr>
        <w:fldChar w:fldCharType="separate"/>
      </w:r>
      <w:r>
        <w:rPr>
          <w:rFonts w:hint="eastAsia" w:ascii="宋体" w:hAnsi="宋体"/>
          <w:b/>
          <w:bCs/>
          <w:sz w:val="21"/>
          <w:szCs w:val="21"/>
          <w:highlight w:val="none"/>
        </w:rPr>
        <w:t>https://edu.zcygov.cn/luban/e-biding</w:t>
      </w:r>
      <w:r>
        <w:rPr>
          <w:rFonts w:hint="eastAsia" w:ascii="宋体" w:hAnsi="宋体"/>
          <w:b/>
          <w:bCs/>
          <w:sz w:val="21"/>
          <w:szCs w:val="21"/>
          <w:highlight w:val="none"/>
        </w:rPr>
        <w:fldChar w:fldCharType="end"/>
      </w:r>
      <w:r>
        <w:rPr>
          <w:rFonts w:hint="eastAsia" w:ascii="宋体" w:hAnsi="宋体"/>
          <w:b/>
          <w:bCs/>
          <w:sz w:val="21"/>
          <w:szCs w:val="21"/>
          <w:highlight w:val="none"/>
        </w:rPr>
        <w:t>）。</w:t>
      </w:r>
    </w:p>
    <w:p>
      <w:pPr>
        <w:spacing w:line="360" w:lineRule="auto"/>
        <w:jc w:val="left"/>
        <w:outlineLvl w:val="2"/>
        <w:rPr>
          <w:rFonts w:ascii="宋体" w:hAnsi="宋体"/>
          <w:b/>
          <w:spacing w:val="-6"/>
          <w:sz w:val="24"/>
          <w:highlight w:val="none"/>
        </w:rPr>
      </w:pPr>
      <w:r>
        <w:rPr>
          <w:rFonts w:hint="eastAsia" w:ascii="宋体" w:hAnsi="宋体"/>
          <w:b/>
          <w:spacing w:val="-6"/>
          <w:sz w:val="24"/>
          <w:highlight w:val="none"/>
        </w:rPr>
        <w:t>（三）投标文件的上传、递交、修改和撤回</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1.投标文件的上传、递交：</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1）电子投标文件的上传：</w:t>
      </w:r>
    </w:p>
    <w:p>
      <w:pPr>
        <w:spacing w:line="360" w:lineRule="auto"/>
        <w:ind w:firstLine="396" w:firstLineChars="200"/>
        <w:jc w:val="left"/>
        <w:rPr>
          <w:rFonts w:ascii="宋体" w:hAnsi="宋体"/>
          <w:spacing w:val="-6"/>
          <w:sz w:val="21"/>
          <w:szCs w:val="21"/>
          <w:highlight w:val="none"/>
        </w:rPr>
      </w:pPr>
      <w:r>
        <w:rPr>
          <w:rFonts w:hint="eastAsia" w:hAnsi="宋体"/>
          <w:spacing w:val="-6"/>
          <w:sz w:val="21"/>
          <w:szCs w:val="21"/>
          <w:highlight w:val="none"/>
        </w:rPr>
        <w:t>▲</w:t>
      </w:r>
      <w:r>
        <w:rPr>
          <w:rFonts w:hint="eastAsia" w:ascii="宋体" w:hAnsi="宋体"/>
          <w:spacing w:val="-6"/>
          <w:sz w:val="21"/>
          <w:szCs w:val="21"/>
          <w:highlight w:val="none"/>
        </w:rPr>
        <w:t>a.投标人应在投标截止时间前将电子投标文件成功上传至政府采购云平台，否则投标无效；</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b.电子投标文件成功上传后，投标人可自行打印投标文件接收回执。</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2.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上传、递交的投标文件，政府采购云平台及采购代理机构将予以拒收。</w:t>
      </w:r>
    </w:p>
    <w:p>
      <w:pPr>
        <w:spacing w:line="360" w:lineRule="auto"/>
        <w:jc w:val="left"/>
        <w:rPr>
          <w:rFonts w:ascii="宋体" w:hAnsi="宋体"/>
          <w:spacing w:val="-6"/>
          <w:sz w:val="24"/>
          <w:highlight w:val="none"/>
        </w:rPr>
      </w:pPr>
      <w:r>
        <w:rPr>
          <w:rFonts w:hint="eastAsia" w:ascii="宋体" w:hAnsi="宋体"/>
          <w:b/>
          <w:spacing w:val="-6"/>
          <w:sz w:val="24"/>
          <w:highlight w:val="none"/>
        </w:rPr>
        <w:t>（四） 投标文件的语言及计量</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投标文件以及投标人与招标人或</w:t>
      </w:r>
      <w:r>
        <w:rPr>
          <w:rFonts w:ascii="宋体" w:hAnsi="宋体"/>
          <w:spacing w:val="-6"/>
          <w:sz w:val="21"/>
          <w:szCs w:val="21"/>
          <w:highlight w:val="none"/>
        </w:rPr>
        <w:t>招标代理机构</w:t>
      </w:r>
      <w:r>
        <w:rPr>
          <w:rFonts w:hint="eastAsia" w:ascii="宋体" w:hAnsi="宋体"/>
          <w:spacing w:val="-6"/>
          <w:sz w:val="21"/>
          <w:szCs w:val="21"/>
          <w:highlight w:val="none"/>
        </w:rPr>
        <w:t>就有关投标事宜的所有来往函电，均应以中文汉语书写。除签名、盖章、专用名称等特殊情形外，以中文汉语以外的文字表述的投标文件视同未提供（有中文汉语说明的除外）。</w:t>
      </w:r>
    </w:p>
    <w:p>
      <w:pPr>
        <w:spacing w:line="360" w:lineRule="auto"/>
        <w:jc w:val="left"/>
        <w:rPr>
          <w:rFonts w:ascii="宋体" w:hAnsi="宋体"/>
          <w:spacing w:val="-6"/>
          <w:sz w:val="24"/>
          <w:highlight w:val="none"/>
        </w:rPr>
      </w:pPr>
      <w:r>
        <w:rPr>
          <w:rFonts w:hint="eastAsia" w:ascii="宋体" w:hAnsi="宋体"/>
          <w:b/>
          <w:spacing w:val="-6"/>
          <w:sz w:val="24"/>
          <w:highlight w:val="none"/>
        </w:rPr>
        <w:t>（五） 投标报价</w:t>
      </w:r>
    </w:p>
    <w:p>
      <w:pPr>
        <w:spacing w:line="360" w:lineRule="auto"/>
        <w:ind w:firstLine="420" w:firstLineChars="200"/>
        <w:rPr>
          <w:rFonts w:ascii="宋体" w:hAnsi="宋体"/>
          <w:sz w:val="21"/>
          <w:szCs w:val="21"/>
          <w:highlight w:val="none"/>
        </w:rPr>
      </w:pPr>
      <w:r>
        <w:rPr>
          <w:rFonts w:hint="eastAsia" w:ascii="宋体" w:hAnsi="宋体"/>
          <w:sz w:val="21"/>
          <w:szCs w:val="21"/>
          <w:highlight w:val="none"/>
        </w:rPr>
        <w:t>1.本次投标采用一年定期存款年利率报价。</w:t>
      </w:r>
    </w:p>
    <w:p>
      <w:pPr>
        <w:spacing w:line="360" w:lineRule="auto"/>
        <w:ind w:firstLine="420" w:firstLineChars="200"/>
        <w:rPr>
          <w:rFonts w:ascii="宋体" w:hAnsi="宋体"/>
          <w:sz w:val="21"/>
          <w:szCs w:val="21"/>
          <w:highlight w:val="none"/>
        </w:rPr>
      </w:pPr>
      <w:r>
        <w:rPr>
          <w:rFonts w:ascii="宋体" w:hAnsi="宋体"/>
          <w:sz w:val="21"/>
          <w:szCs w:val="21"/>
          <w:highlight w:val="none"/>
        </w:rPr>
        <w:t>2.投标报价是指一次性报出不得更改的价格</w:t>
      </w:r>
      <w:r>
        <w:rPr>
          <w:rFonts w:hint="eastAsia" w:ascii="宋体" w:hAnsi="宋体"/>
          <w:sz w:val="21"/>
          <w:szCs w:val="21"/>
          <w:highlight w:val="none"/>
        </w:rPr>
        <w:t>，</w:t>
      </w:r>
      <w:r>
        <w:rPr>
          <w:rFonts w:ascii="宋体" w:hAnsi="宋体"/>
          <w:sz w:val="21"/>
          <w:szCs w:val="21"/>
          <w:highlight w:val="none"/>
        </w:rPr>
        <w:t>投标报价应按招标文件中相关附表格式填写</w:t>
      </w:r>
      <w:r>
        <w:rPr>
          <w:rFonts w:hint="eastAsia" w:ascii="宋体" w:hAnsi="宋体"/>
          <w:sz w:val="21"/>
          <w:szCs w:val="21"/>
          <w:highlight w:val="none"/>
        </w:rPr>
        <w:t>。</w:t>
      </w:r>
    </w:p>
    <w:p>
      <w:pPr>
        <w:spacing w:line="360" w:lineRule="auto"/>
        <w:ind w:firstLine="420" w:firstLineChars="200"/>
        <w:rPr>
          <w:rFonts w:ascii="宋体" w:hAnsi="宋体"/>
          <w:sz w:val="21"/>
          <w:szCs w:val="21"/>
          <w:highlight w:val="none"/>
        </w:rPr>
      </w:pPr>
      <w:r>
        <w:rPr>
          <w:rFonts w:hint="eastAsia" w:ascii="宋体" w:hAnsi="宋体"/>
          <w:sz w:val="21"/>
          <w:szCs w:val="21"/>
          <w:highlight w:val="none"/>
        </w:rPr>
        <w:t>3</w:t>
      </w:r>
      <w:r>
        <w:rPr>
          <w:rFonts w:ascii="宋体" w:hAnsi="宋体"/>
          <w:sz w:val="21"/>
          <w:szCs w:val="21"/>
          <w:highlight w:val="none"/>
        </w:rPr>
        <w:t>.</w:t>
      </w:r>
      <w:r>
        <w:rPr>
          <w:rFonts w:hint="eastAsia" w:ascii="宋体" w:hAnsi="宋体"/>
          <w:sz w:val="21"/>
          <w:szCs w:val="21"/>
          <w:highlight w:val="none"/>
        </w:rPr>
        <w:t>投标文件只允许有一个报价，有选择的报价将不予接受。</w:t>
      </w:r>
    </w:p>
    <w:p>
      <w:pPr>
        <w:pStyle w:val="5"/>
        <w:widowControl w:val="0"/>
        <w:numPr>
          <w:ilvl w:val="0"/>
          <w:numId w:val="0"/>
        </w:numPr>
        <w:spacing w:afterLines="0" w:line="360" w:lineRule="auto"/>
        <w:ind w:left="327" w:hanging="327" w:hangingChars="143"/>
        <w:rPr>
          <w:rFonts w:ascii="宋体" w:hAnsi="宋体"/>
          <w:b/>
          <w:spacing w:val="-6"/>
          <w:kern w:val="2"/>
          <w:szCs w:val="24"/>
          <w:highlight w:val="none"/>
        </w:rPr>
      </w:pPr>
      <w:r>
        <w:rPr>
          <w:rFonts w:hint="eastAsia" w:ascii="宋体" w:hAnsi="宋体"/>
          <w:b/>
          <w:spacing w:val="-6"/>
          <w:kern w:val="2"/>
          <w:szCs w:val="24"/>
          <w:highlight w:val="none"/>
        </w:rPr>
        <w:t>（六） 投标有效期</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从提交投标文件的截止之日起90天。</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2</w:t>
      </w:r>
      <w:r>
        <w:rPr>
          <w:rFonts w:ascii="宋体" w:hAnsi="宋体"/>
          <w:spacing w:val="-6"/>
          <w:sz w:val="21"/>
          <w:szCs w:val="21"/>
          <w:highlight w:val="none"/>
        </w:rPr>
        <w:t>.</w:t>
      </w:r>
      <w:r>
        <w:rPr>
          <w:rFonts w:hint="eastAsia" w:ascii="宋体" w:hAnsi="宋体"/>
          <w:spacing w:val="-6"/>
          <w:sz w:val="21"/>
          <w:szCs w:val="21"/>
          <w:highlight w:val="none"/>
        </w:rPr>
        <w:t>在原投标有效期满之前，如果出现特殊情况，招标人</w:t>
      </w:r>
      <w:r>
        <w:rPr>
          <w:rFonts w:ascii="宋体" w:hAnsi="宋体"/>
          <w:spacing w:val="-6"/>
          <w:sz w:val="21"/>
          <w:szCs w:val="21"/>
          <w:highlight w:val="none"/>
        </w:rPr>
        <w:t>或</w:t>
      </w:r>
      <w:r>
        <w:rPr>
          <w:rFonts w:hint="eastAsia" w:ascii="宋体" w:hAnsi="宋体"/>
          <w:spacing w:val="-6"/>
          <w:sz w:val="21"/>
          <w:szCs w:val="21"/>
          <w:highlight w:val="none"/>
        </w:rPr>
        <w:t>招标代理机构以书面形式通知投标人延长投标有效期。</w:t>
      </w:r>
    </w:p>
    <w:p>
      <w:pPr>
        <w:spacing w:line="360" w:lineRule="auto"/>
        <w:rPr>
          <w:rFonts w:ascii="宋体" w:hAnsi="宋体"/>
          <w:b/>
          <w:spacing w:val="-6"/>
          <w:sz w:val="24"/>
          <w:highlight w:val="none"/>
        </w:rPr>
      </w:pPr>
      <w:r>
        <w:rPr>
          <w:rFonts w:hint="eastAsia" w:ascii="宋体" w:hAnsi="宋体"/>
          <w:b/>
          <w:spacing w:val="-6"/>
          <w:sz w:val="24"/>
          <w:highlight w:val="none"/>
        </w:rPr>
        <w:t>（七） 投标无效的情形</w:t>
      </w:r>
    </w:p>
    <w:p>
      <w:pPr>
        <w:widowControl/>
        <w:spacing w:line="360" w:lineRule="auto"/>
        <w:ind w:firstLine="398" w:firstLineChars="200"/>
        <w:jc w:val="left"/>
        <w:rPr>
          <w:rFonts w:ascii="宋体" w:hAnsi="宋体"/>
          <w:b/>
          <w:spacing w:val="-6"/>
          <w:sz w:val="21"/>
          <w:szCs w:val="21"/>
          <w:highlight w:val="none"/>
        </w:rPr>
      </w:pPr>
      <w:r>
        <w:rPr>
          <w:rFonts w:hint="eastAsia" w:ascii="宋体" w:hAnsi="宋体"/>
          <w:b/>
          <w:spacing w:val="-6"/>
          <w:sz w:val="21"/>
          <w:szCs w:val="21"/>
          <w:highlight w:val="none"/>
        </w:rPr>
        <w:t>1</w:t>
      </w:r>
      <w:r>
        <w:rPr>
          <w:rFonts w:ascii="宋体" w:hAnsi="宋体"/>
          <w:b/>
          <w:spacing w:val="-6"/>
          <w:sz w:val="21"/>
          <w:szCs w:val="21"/>
          <w:highlight w:val="none"/>
        </w:rPr>
        <w:t>.</w:t>
      </w:r>
      <w:r>
        <w:rPr>
          <w:rFonts w:hint="eastAsia" w:ascii="宋体" w:hAnsi="宋体"/>
          <w:b/>
          <w:spacing w:val="-6"/>
          <w:sz w:val="21"/>
          <w:szCs w:val="21"/>
          <w:highlight w:val="none"/>
        </w:rPr>
        <w:t>在资格审查时，如发现下列情形之一的，投标文件将被视为无效：</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）资格证明</w:t>
      </w:r>
      <w:r>
        <w:rPr>
          <w:rFonts w:hint="eastAsia" w:ascii="宋体" w:hAnsi="宋体"/>
          <w:spacing w:val="-6"/>
          <w:sz w:val="21"/>
          <w:szCs w:val="21"/>
          <w:highlight w:val="none"/>
        </w:rPr>
        <w:t>材料</w:t>
      </w:r>
      <w:r>
        <w:rPr>
          <w:rFonts w:ascii="宋体" w:hAnsi="宋体"/>
          <w:spacing w:val="-6"/>
          <w:sz w:val="21"/>
          <w:szCs w:val="21"/>
          <w:highlight w:val="none"/>
        </w:rPr>
        <w:t>不全的，或者不符合</w:t>
      </w:r>
      <w:r>
        <w:rPr>
          <w:rFonts w:hint="eastAsia" w:ascii="宋体" w:hAnsi="宋体"/>
          <w:spacing w:val="-6"/>
          <w:sz w:val="21"/>
          <w:szCs w:val="21"/>
          <w:highlight w:val="none"/>
        </w:rPr>
        <w:t>招标</w:t>
      </w:r>
      <w:r>
        <w:rPr>
          <w:rFonts w:ascii="宋体" w:hAnsi="宋体"/>
          <w:spacing w:val="-6"/>
          <w:sz w:val="21"/>
          <w:szCs w:val="21"/>
          <w:highlight w:val="none"/>
        </w:rPr>
        <w:t>文件要求的</w:t>
      </w:r>
      <w:r>
        <w:rPr>
          <w:rFonts w:hint="eastAsia" w:ascii="宋体" w:hAnsi="宋体"/>
          <w:spacing w:val="-6"/>
          <w:sz w:val="21"/>
          <w:szCs w:val="21"/>
          <w:highlight w:val="none"/>
        </w:rPr>
        <w:t>；</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（2）投标人不具备招标文件中规定的资格要求的。</w:t>
      </w:r>
    </w:p>
    <w:p>
      <w:pPr>
        <w:spacing w:line="360" w:lineRule="auto"/>
        <w:ind w:firstLine="398" w:firstLineChars="200"/>
        <w:rPr>
          <w:rFonts w:ascii="宋体" w:hAnsi="宋体"/>
          <w:b/>
          <w:spacing w:val="-6"/>
          <w:sz w:val="21"/>
          <w:szCs w:val="21"/>
          <w:highlight w:val="none"/>
        </w:rPr>
      </w:pPr>
      <w:r>
        <w:rPr>
          <w:rFonts w:hint="eastAsia" w:ascii="宋体" w:hAnsi="宋体"/>
          <w:b/>
          <w:spacing w:val="-6"/>
          <w:sz w:val="21"/>
          <w:szCs w:val="21"/>
          <w:highlight w:val="none"/>
        </w:rPr>
        <w:t>2</w:t>
      </w:r>
      <w:r>
        <w:rPr>
          <w:rFonts w:ascii="宋体" w:hAnsi="宋体"/>
          <w:b/>
          <w:spacing w:val="-6"/>
          <w:sz w:val="21"/>
          <w:szCs w:val="21"/>
          <w:highlight w:val="none"/>
        </w:rPr>
        <w:t>.</w:t>
      </w:r>
      <w:r>
        <w:rPr>
          <w:rFonts w:hint="eastAsia" w:ascii="宋体" w:hAnsi="宋体"/>
          <w:b/>
          <w:spacing w:val="-6"/>
          <w:sz w:val="21"/>
          <w:szCs w:val="21"/>
          <w:highlight w:val="none"/>
        </w:rPr>
        <w:t>在符合</w:t>
      </w:r>
      <w:r>
        <w:rPr>
          <w:rFonts w:ascii="宋体" w:hAnsi="宋体"/>
          <w:b/>
          <w:spacing w:val="-6"/>
          <w:sz w:val="21"/>
          <w:szCs w:val="21"/>
          <w:highlight w:val="none"/>
        </w:rPr>
        <w:t>性审查、</w:t>
      </w:r>
      <w:r>
        <w:rPr>
          <w:rFonts w:hint="eastAsia" w:ascii="宋体" w:hAnsi="宋体"/>
          <w:b/>
          <w:spacing w:val="-6"/>
          <w:sz w:val="21"/>
          <w:szCs w:val="21"/>
          <w:highlight w:val="none"/>
        </w:rPr>
        <w:t>商务</w:t>
      </w:r>
      <w:r>
        <w:rPr>
          <w:rFonts w:ascii="宋体" w:hAnsi="宋体"/>
          <w:b/>
          <w:spacing w:val="-6"/>
          <w:sz w:val="21"/>
          <w:szCs w:val="21"/>
          <w:highlight w:val="none"/>
        </w:rPr>
        <w:t>和技术评审</w:t>
      </w:r>
      <w:r>
        <w:rPr>
          <w:rFonts w:hint="eastAsia" w:ascii="宋体" w:hAnsi="宋体"/>
          <w:b/>
          <w:spacing w:val="-6"/>
          <w:sz w:val="21"/>
          <w:szCs w:val="21"/>
          <w:highlight w:val="none"/>
        </w:rPr>
        <w:t>时，如发现下列情形之一的，投标文件将被视为无效：</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投标</w:t>
      </w:r>
      <w:r>
        <w:rPr>
          <w:rFonts w:ascii="宋体" w:hAnsi="宋体"/>
          <w:spacing w:val="-6"/>
          <w:sz w:val="21"/>
          <w:szCs w:val="21"/>
          <w:highlight w:val="none"/>
        </w:rPr>
        <w:t>文件</w:t>
      </w:r>
      <w:r>
        <w:rPr>
          <w:rFonts w:hint="eastAsia" w:ascii="宋体" w:hAnsi="宋体"/>
          <w:spacing w:val="-6"/>
          <w:sz w:val="21"/>
          <w:szCs w:val="21"/>
          <w:highlight w:val="none"/>
        </w:rPr>
        <w:t>未按要求签署、盖章的；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（2）未提供或未按要求提供投标函、企业负责人资格证明书、企业负责人授权委托书、投标声明书；</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（3）</w:t>
      </w:r>
      <w:r>
        <w:rPr>
          <w:rFonts w:ascii="宋体" w:hAnsi="宋体"/>
          <w:spacing w:val="-6"/>
          <w:sz w:val="21"/>
          <w:szCs w:val="21"/>
          <w:highlight w:val="none"/>
        </w:rPr>
        <w:t>明显不符合招标文件</w:t>
      </w:r>
      <w:r>
        <w:rPr>
          <w:rFonts w:hint="eastAsia" w:ascii="宋体" w:hAnsi="宋体"/>
          <w:spacing w:val="-6"/>
          <w:sz w:val="21"/>
          <w:szCs w:val="21"/>
          <w:highlight w:val="none"/>
        </w:rPr>
        <w:t>要求，</w:t>
      </w:r>
      <w:r>
        <w:rPr>
          <w:rFonts w:ascii="宋体" w:hAnsi="宋体"/>
          <w:spacing w:val="-6"/>
          <w:sz w:val="21"/>
          <w:szCs w:val="21"/>
          <w:highlight w:val="none"/>
        </w:rPr>
        <w:t>或者</w:t>
      </w:r>
      <w:r>
        <w:rPr>
          <w:rFonts w:hint="eastAsia" w:ascii="宋体" w:hAnsi="宋体"/>
          <w:spacing w:val="-6"/>
          <w:sz w:val="21"/>
          <w:szCs w:val="21"/>
          <w:highlight w:val="none"/>
        </w:rPr>
        <w:t>与</w:t>
      </w:r>
      <w:r>
        <w:rPr>
          <w:rFonts w:ascii="宋体" w:hAnsi="宋体"/>
          <w:spacing w:val="-6"/>
          <w:sz w:val="21"/>
          <w:szCs w:val="21"/>
          <w:highlight w:val="none"/>
        </w:rPr>
        <w:t>招标文件中标“▲”的项目发生实质性偏离的；</w:t>
      </w:r>
    </w:p>
    <w:p>
      <w:pPr>
        <w:spacing w:line="360" w:lineRule="auto"/>
        <w:ind w:firstLine="396" w:firstLineChars="200"/>
        <w:rPr>
          <w:rFonts w:ascii="宋体" w:hAnsi="宋体" w:cs="宋体"/>
          <w:spacing w:val="-6"/>
          <w:sz w:val="21"/>
          <w:szCs w:val="21"/>
          <w:highlight w:val="none"/>
        </w:rPr>
      </w:pPr>
      <w:r>
        <w:rPr>
          <w:rFonts w:hint="eastAsia" w:ascii="宋体" w:hAnsi="宋体" w:cs="宋体"/>
          <w:spacing w:val="-6"/>
          <w:sz w:val="21"/>
          <w:szCs w:val="21"/>
          <w:highlight w:val="none"/>
        </w:rPr>
        <w:t>（4）投标文件含有招标人不能接受的附加条件的；</w:t>
      </w:r>
    </w:p>
    <w:p>
      <w:pPr>
        <w:widowControl/>
        <w:spacing w:line="360" w:lineRule="auto"/>
        <w:ind w:firstLine="396" w:firstLineChars="200"/>
        <w:jc w:val="left"/>
        <w:rPr>
          <w:rFonts w:ascii="宋体" w:hAnsi="宋体" w:cs="宋体"/>
          <w:spacing w:val="-6"/>
          <w:sz w:val="21"/>
          <w:szCs w:val="21"/>
          <w:highlight w:val="none"/>
        </w:rPr>
      </w:pPr>
      <w:r>
        <w:rPr>
          <w:rFonts w:hint="eastAsia" w:ascii="宋体" w:hAnsi="宋体" w:cs="宋体"/>
          <w:spacing w:val="-6"/>
          <w:sz w:val="21"/>
          <w:szCs w:val="21"/>
          <w:highlight w:val="none"/>
        </w:rPr>
        <w:t>（5）法律、法规和招标文件规定的其他无效情形。</w:t>
      </w:r>
    </w:p>
    <w:p>
      <w:pPr>
        <w:widowControl/>
        <w:spacing w:line="360" w:lineRule="auto"/>
        <w:ind w:firstLine="398" w:firstLineChars="200"/>
        <w:jc w:val="left"/>
        <w:rPr>
          <w:rFonts w:ascii="宋体" w:hAnsi="宋体" w:cs="宋体"/>
          <w:b/>
          <w:spacing w:val="-6"/>
          <w:sz w:val="21"/>
          <w:szCs w:val="21"/>
          <w:highlight w:val="none"/>
        </w:rPr>
      </w:pPr>
      <w:r>
        <w:rPr>
          <w:rFonts w:hint="eastAsia" w:ascii="宋体" w:hAnsi="宋体" w:cs="宋体"/>
          <w:b/>
          <w:spacing w:val="-6"/>
          <w:sz w:val="21"/>
          <w:szCs w:val="21"/>
          <w:highlight w:val="none"/>
        </w:rPr>
        <w:t>3.在报价评审时，如发现下列情形之一的，投标文件将被视为无效：</w:t>
      </w:r>
    </w:p>
    <w:p>
      <w:pPr>
        <w:spacing w:line="360" w:lineRule="auto"/>
        <w:ind w:firstLine="396" w:firstLineChars="200"/>
        <w:rPr>
          <w:rFonts w:ascii="宋体" w:hAnsi="宋体"/>
          <w:spacing w:val="-6"/>
          <w:sz w:val="21"/>
          <w:szCs w:val="21"/>
          <w:highlight w:val="none"/>
        </w:rPr>
      </w:pPr>
      <w:r>
        <w:rPr>
          <w:rFonts w:ascii="宋体" w:hAnsi="宋体"/>
          <w:spacing w:val="-6"/>
          <w:sz w:val="21"/>
          <w:szCs w:val="21"/>
          <w:highlight w:val="none"/>
        </w:rPr>
        <w:t>（1）未按照招标文件</w:t>
      </w:r>
      <w:r>
        <w:rPr>
          <w:rFonts w:hint="eastAsia" w:ascii="宋体" w:hAnsi="宋体"/>
          <w:spacing w:val="-6"/>
          <w:sz w:val="21"/>
          <w:szCs w:val="21"/>
          <w:highlight w:val="none"/>
        </w:rPr>
        <w:t>要求</w:t>
      </w:r>
      <w:r>
        <w:rPr>
          <w:rFonts w:ascii="宋体" w:hAnsi="宋体"/>
          <w:spacing w:val="-6"/>
          <w:sz w:val="21"/>
          <w:szCs w:val="21"/>
          <w:highlight w:val="none"/>
        </w:rPr>
        <w:t>报价的；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w:t>
      </w:r>
      <w:r>
        <w:rPr>
          <w:rFonts w:ascii="宋体" w:hAnsi="宋体"/>
          <w:spacing w:val="-6"/>
          <w:sz w:val="21"/>
          <w:szCs w:val="21"/>
          <w:highlight w:val="none"/>
        </w:rPr>
        <w:t>投标报价具有选择性，或者开标价格与投标文件承诺的优惠（折扣）价格不一致的；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（3）定期存款利率低于相同期限基准存款利率和违反国家利率政策规定的。</w:t>
      </w:r>
    </w:p>
    <w:p>
      <w:pPr>
        <w:widowControl/>
        <w:spacing w:line="360" w:lineRule="auto"/>
        <w:ind w:firstLine="398" w:firstLineChars="200"/>
        <w:jc w:val="left"/>
        <w:rPr>
          <w:rFonts w:ascii="宋体" w:hAnsi="宋体"/>
          <w:b/>
          <w:spacing w:val="-6"/>
          <w:sz w:val="21"/>
          <w:szCs w:val="21"/>
          <w:highlight w:val="none"/>
        </w:rPr>
      </w:pPr>
      <w:r>
        <w:rPr>
          <w:rFonts w:hint="eastAsia" w:ascii="宋体" w:hAnsi="宋体"/>
          <w:b/>
          <w:spacing w:val="-6"/>
          <w:sz w:val="21"/>
          <w:szCs w:val="21"/>
          <w:highlight w:val="none"/>
        </w:rPr>
        <w:t>4</w:t>
      </w:r>
      <w:r>
        <w:rPr>
          <w:rFonts w:ascii="宋体" w:hAnsi="宋体"/>
          <w:b/>
          <w:spacing w:val="-6"/>
          <w:sz w:val="21"/>
          <w:szCs w:val="21"/>
          <w:highlight w:val="none"/>
        </w:rPr>
        <w:t>.</w:t>
      </w:r>
      <w:r>
        <w:rPr>
          <w:rFonts w:hint="eastAsia" w:ascii="宋体" w:hAnsi="宋体"/>
          <w:b/>
          <w:spacing w:val="-6"/>
          <w:sz w:val="21"/>
          <w:szCs w:val="21"/>
          <w:highlight w:val="none"/>
        </w:rPr>
        <w:t>有下列情形之一的，视为投标人串通投标，其投标无效，由招标人或招标代理机构上报监督管理部门，视情列入不良行为记录名单，在一至三年内禁止参加采购活动：</w:t>
      </w:r>
    </w:p>
    <w:p>
      <w:pPr>
        <w:widowControl/>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（1）不同投标人的投标文件由同一单位或者个人编制；</w:t>
      </w:r>
    </w:p>
    <w:p>
      <w:pPr>
        <w:widowControl/>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（2）不同投标人委托同一单位或者个人办理投标事宜；</w:t>
      </w:r>
    </w:p>
    <w:p>
      <w:pPr>
        <w:widowControl/>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（3）不同投标人的投标文件载明的项目管理成员或者联系人员为同一人；</w:t>
      </w:r>
    </w:p>
    <w:p>
      <w:pPr>
        <w:widowControl/>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（4）不同投标人的投标文件异常一致或者投标报价呈规律性差异；</w:t>
      </w:r>
    </w:p>
    <w:p>
      <w:pPr>
        <w:widowControl/>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（5）不同投标人的投标文件相互混装；</w:t>
      </w:r>
    </w:p>
    <w:p>
      <w:pPr>
        <w:widowControl/>
        <w:spacing w:line="360" w:lineRule="auto"/>
        <w:ind w:firstLine="398" w:firstLineChars="200"/>
        <w:jc w:val="center"/>
        <w:outlineLvl w:val="1"/>
        <w:rPr>
          <w:rFonts w:hAnsi="宋体"/>
          <w:b/>
          <w:spacing w:val="-6"/>
          <w:sz w:val="32"/>
          <w:szCs w:val="32"/>
          <w:highlight w:val="none"/>
        </w:rPr>
      </w:pPr>
      <w:r>
        <w:rPr>
          <w:rFonts w:hAnsi="宋体"/>
          <w:b/>
          <w:spacing w:val="-6"/>
          <w:sz w:val="21"/>
          <w:szCs w:val="21"/>
          <w:highlight w:val="none"/>
        </w:rPr>
        <w:br w:type="page"/>
      </w:r>
      <w:r>
        <w:rPr>
          <w:rFonts w:hAnsi="宋体"/>
          <w:b/>
          <w:spacing w:val="-6"/>
          <w:sz w:val="32"/>
          <w:szCs w:val="32"/>
          <w:highlight w:val="none"/>
        </w:rPr>
        <w:t>四</w:t>
      </w:r>
      <w:r>
        <w:rPr>
          <w:rFonts w:hint="eastAsia" w:hAnsi="宋体"/>
          <w:b/>
          <w:spacing w:val="-6"/>
          <w:sz w:val="32"/>
          <w:szCs w:val="32"/>
          <w:highlight w:val="none"/>
        </w:rPr>
        <w:t>、开标</w:t>
      </w:r>
    </w:p>
    <w:p>
      <w:pPr>
        <w:pStyle w:val="2"/>
        <w:spacing w:line="360" w:lineRule="auto"/>
        <w:ind w:firstLine="0"/>
        <w:rPr>
          <w:rFonts w:hAnsi="宋体"/>
          <w:b/>
          <w:spacing w:val="-6"/>
          <w:sz w:val="24"/>
          <w:szCs w:val="24"/>
          <w:highlight w:val="none"/>
        </w:rPr>
      </w:pPr>
      <w:r>
        <w:rPr>
          <w:rFonts w:hint="eastAsia" w:hAnsi="宋体"/>
          <w:b/>
          <w:spacing w:val="-6"/>
          <w:sz w:val="24"/>
          <w:szCs w:val="24"/>
          <w:highlight w:val="none"/>
        </w:rPr>
        <w:t>（一） 开标准备</w:t>
      </w:r>
    </w:p>
    <w:p>
      <w:pPr>
        <w:pStyle w:val="2"/>
        <w:spacing w:line="360" w:lineRule="auto"/>
        <w:ind w:firstLine="396" w:firstLineChars="200"/>
        <w:rPr>
          <w:rFonts w:hAnsi="宋体"/>
          <w:spacing w:val="-6"/>
          <w:sz w:val="21"/>
          <w:szCs w:val="21"/>
          <w:highlight w:val="none"/>
        </w:rPr>
      </w:pPr>
      <w:r>
        <w:rPr>
          <w:rFonts w:hint="eastAsia" w:hAnsi="宋体"/>
          <w:spacing w:val="-6"/>
          <w:sz w:val="21"/>
          <w:szCs w:val="21"/>
          <w:highlight w:val="none"/>
        </w:rPr>
        <w:t>采购组织机构将按照招标文件规定的时间通过“政府采购云平台”组织在线开标，所有供应商均应当准时在线参加。</w:t>
      </w:r>
    </w:p>
    <w:p>
      <w:pPr>
        <w:pStyle w:val="2"/>
        <w:spacing w:line="360" w:lineRule="auto"/>
        <w:ind w:firstLine="0"/>
        <w:rPr>
          <w:rFonts w:hAnsi="宋体"/>
          <w:b/>
          <w:spacing w:val="-6"/>
          <w:sz w:val="24"/>
          <w:szCs w:val="24"/>
          <w:highlight w:val="none"/>
        </w:rPr>
      </w:pPr>
      <w:r>
        <w:rPr>
          <w:rFonts w:hint="eastAsia" w:hAnsi="宋体"/>
          <w:b/>
          <w:spacing w:val="-6"/>
          <w:sz w:val="24"/>
          <w:szCs w:val="24"/>
          <w:highlight w:val="none"/>
        </w:rPr>
        <w:t>（二） 开标程序</w:t>
      </w:r>
    </w:p>
    <w:p>
      <w:pPr>
        <w:pStyle w:val="2"/>
        <w:spacing w:line="360" w:lineRule="auto"/>
        <w:ind w:firstLine="396" w:firstLineChars="200"/>
        <w:rPr>
          <w:rFonts w:hAnsi="宋体"/>
          <w:spacing w:val="-6"/>
          <w:sz w:val="21"/>
          <w:szCs w:val="21"/>
          <w:highlight w:val="none"/>
        </w:rPr>
      </w:pPr>
      <w:r>
        <w:rPr>
          <w:rFonts w:hint="eastAsia" w:hAnsi="宋体"/>
          <w:spacing w:val="-6"/>
          <w:sz w:val="21"/>
          <w:szCs w:val="21"/>
          <w:highlight w:val="none"/>
        </w:rPr>
        <w:t>1.到投标截止时间，递交响应文件的投标人少于</w:t>
      </w:r>
      <w:r>
        <w:rPr>
          <w:rFonts w:hint="eastAsia" w:hAnsi="宋体"/>
          <w:spacing w:val="-6"/>
          <w:sz w:val="21"/>
          <w:szCs w:val="21"/>
          <w:highlight w:val="none"/>
          <w:lang w:val="en-US" w:eastAsia="zh-CN"/>
        </w:rPr>
        <w:t>9</w:t>
      </w:r>
      <w:r>
        <w:rPr>
          <w:rFonts w:hint="eastAsia" w:hAnsi="宋体"/>
          <w:spacing w:val="-6"/>
          <w:sz w:val="21"/>
          <w:szCs w:val="21"/>
          <w:highlight w:val="none"/>
        </w:rPr>
        <w:t>家的，招标人将依法重新组织招标。评标期间，如通过</w:t>
      </w:r>
      <w:r>
        <w:rPr>
          <w:rFonts w:hint="eastAsia" w:hAnsi="宋体"/>
          <w:bCs/>
          <w:spacing w:val="-6"/>
          <w:sz w:val="21"/>
          <w:szCs w:val="21"/>
          <w:highlight w:val="none"/>
        </w:rPr>
        <w:t>资格审查、</w:t>
      </w:r>
      <w:r>
        <w:rPr>
          <w:rFonts w:hint="eastAsia" w:hAnsi="宋体"/>
          <w:spacing w:val="-6"/>
          <w:sz w:val="21"/>
          <w:szCs w:val="21"/>
          <w:highlight w:val="none"/>
        </w:rPr>
        <w:t>符合性审查的有效投标人少于</w:t>
      </w:r>
      <w:r>
        <w:rPr>
          <w:rFonts w:hint="eastAsia" w:hAnsi="宋体"/>
          <w:spacing w:val="-6"/>
          <w:sz w:val="21"/>
          <w:szCs w:val="21"/>
          <w:highlight w:val="none"/>
          <w:lang w:val="en-US" w:eastAsia="zh-CN"/>
        </w:rPr>
        <w:t>9</w:t>
      </w:r>
      <w:r>
        <w:rPr>
          <w:rFonts w:hint="eastAsia" w:hAnsi="宋体"/>
          <w:spacing w:val="-6"/>
          <w:sz w:val="21"/>
          <w:szCs w:val="21"/>
          <w:highlight w:val="none"/>
        </w:rPr>
        <w:t>家的，招标人将重新组织招标。</w:t>
      </w:r>
    </w:p>
    <w:p>
      <w:pPr>
        <w:pStyle w:val="2"/>
        <w:spacing w:line="360" w:lineRule="auto"/>
        <w:ind w:firstLine="396" w:firstLineChars="200"/>
        <w:rPr>
          <w:rFonts w:hAnsi="宋体"/>
          <w:spacing w:val="-6"/>
          <w:sz w:val="21"/>
          <w:szCs w:val="21"/>
          <w:highlight w:val="none"/>
        </w:rPr>
      </w:pPr>
      <w:r>
        <w:rPr>
          <w:rFonts w:hint="eastAsia" w:hAnsi="宋体"/>
          <w:spacing w:val="-6"/>
          <w:sz w:val="21"/>
          <w:szCs w:val="21"/>
          <w:highlight w:val="none"/>
        </w:rPr>
        <w:t>2.所有的开标流程按照政采云平台关于公款竞争性存放的操作流程进行开标程序。</w:t>
      </w:r>
    </w:p>
    <w:p>
      <w:pPr>
        <w:pStyle w:val="12"/>
        <w:spacing w:beforeLines="0" w:afterLines="0" w:line="360" w:lineRule="auto"/>
        <w:jc w:val="center"/>
        <w:outlineLvl w:val="1"/>
        <w:rPr>
          <w:rFonts w:hAnsi="宋体"/>
          <w:b/>
          <w:spacing w:val="-6"/>
          <w:sz w:val="32"/>
          <w:szCs w:val="32"/>
          <w:highlight w:val="none"/>
        </w:rPr>
      </w:pPr>
      <w:r>
        <w:rPr>
          <w:rFonts w:hAnsi="宋体"/>
          <w:b/>
          <w:spacing w:val="-6"/>
          <w:sz w:val="32"/>
          <w:szCs w:val="32"/>
          <w:highlight w:val="none"/>
        </w:rPr>
        <w:br w:type="page"/>
      </w:r>
      <w:r>
        <w:rPr>
          <w:rFonts w:hint="eastAsia" w:hAnsi="宋体"/>
          <w:b/>
          <w:spacing w:val="-6"/>
          <w:sz w:val="32"/>
          <w:szCs w:val="32"/>
          <w:highlight w:val="none"/>
        </w:rPr>
        <w:t>五、评  标</w:t>
      </w:r>
    </w:p>
    <w:p>
      <w:pPr>
        <w:spacing w:line="360" w:lineRule="auto"/>
        <w:rPr>
          <w:rFonts w:ascii="宋体" w:hAnsi="宋体"/>
          <w:b/>
          <w:spacing w:val="-6"/>
          <w:sz w:val="24"/>
          <w:highlight w:val="none"/>
        </w:rPr>
      </w:pPr>
      <w:r>
        <w:rPr>
          <w:rFonts w:hint="eastAsia" w:ascii="宋体" w:hAnsi="宋体"/>
          <w:b/>
          <w:spacing w:val="-6"/>
          <w:sz w:val="24"/>
          <w:highlight w:val="none"/>
        </w:rPr>
        <w:t>（一） 组建评标委员会</w:t>
      </w:r>
    </w:p>
    <w:p>
      <w:pPr>
        <w:pStyle w:val="12"/>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本项目评标委员会</w:t>
      </w:r>
      <w:r>
        <w:rPr>
          <w:rFonts w:hint="eastAsia" w:hAnsi="宋体"/>
          <w:spacing w:val="-6"/>
          <w:sz w:val="21"/>
          <w:szCs w:val="21"/>
          <w:highlight w:val="none"/>
        </w:rPr>
        <w:t>依据相关法律法规组建，成员人数为5人</w:t>
      </w:r>
      <w:r>
        <w:rPr>
          <w:rFonts w:hAnsi="宋体"/>
          <w:spacing w:val="-6"/>
          <w:sz w:val="21"/>
          <w:szCs w:val="21"/>
          <w:highlight w:val="none"/>
        </w:rPr>
        <w:t>。</w:t>
      </w:r>
    </w:p>
    <w:p>
      <w:pPr>
        <w:pStyle w:val="2"/>
        <w:spacing w:line="360" w:lineRule="auto"/>
        <w:ind w:firstLine="0"/>
        <w:rPr>
          <w:rFonts w:hAnsi="宋体"/>
          <w:b/>
          <w:spacing w:val="-6"/>
          <w:sz w:val="24"/>
          <w:szCs w:val="24"/>
          <w:highlight w:val="none"/>
        </w:rPr>
      </w:pPr>
      <w:r>
        <w:rPr>
          <w:rFonts w:hAnsi="宋体"/>
          <w:b/>
          <w:spacing w:val="-6"/>
          <w:sz w:val="24"/>
          <w:szCs w:val="24"/>
          <w:highlight w:val="none"/>
        </w:rPr>
        <w:t>（二</w:t>
      </w:r>
      <w:r>
        <w:rPr>
          <w:rFonts w:hint="eastAsia" w:hAnsi="宋体"/>
          <w:b/>
          <w:spacing w:val="-6"/>
          <w:sz w:val="24"/>
          <w:szCs w:val="24"/>
          <w:highlight w:val="none"/>
        </w:rPr>
        <w:t xml:space="preserve">） </w:t>
      </w:r>
      <w:r>
        <w:rPr>
          <w:rFonts w:hAnsi="宋体"/>
          <w:b/>
          <w:spacing w:val="-6"/>
          <w:sz w:val="24"/>
          <w:szCs w:val="24"/>
          <w:highlight w:val="none"/>
        </w:rPr>
        <w:t>评标的方式</w:t>
      </w:r>
    </w:p>
    <w:p>
      <w:pPr>
        <w:pStyle w:val="2"/>
        <w:spacing w:line="360" w:lineRule="auto"/>
        <w:ind w:firstLine="396" w:firstLineChars="200"/>
        <w:rPr>
          <w:rFonts w:hAnsi="宋体"/>
          <w:spacing w:val="-6"/>
          <w:sz w:val="21"/>
          <w:szCs w:val="21"/>
          <w:highlight w:val="none"/>
        </w:rPr>
      </w:pPr>
      <w:r>
        <w:rPr>
          <w:rFonts w:hAnsi="宋体"/>
          <w:spacing w:val="-6"/>
          <w:sz w:val="21"/>
          <w:szCs w:val="21"/>
          <w:highlight w:val="none"/>
        </w:rPr>
        <w:t>本项目采用不公开方式评标，评标的依据为招标文件和投标文件。</w:t>
      </w:r>
    </w:p>
    <w:p>
      <w:pPr>
        <w:pStyle w:val="2"/>
        <w:spacing w:line="360" w:lineRule="auto"/>
        <w:ind w:firstLine="0"/>
        <w:rPr>
          <w:rFonts w:hAnsi="宋体"/>
          <w:b/>
          <w:spacing w:val="-6"/>
          <w:sz w:val="24"/>
          <w:szCs w:val="24"/>
          <w:highlight w:val="none"/>
        </w:rPr>
      </w:pPr>
      <w:r>
        <w:rPr>
          <w:rFonts w:hAnsi="宋体"/>
          <w:b/>
          <w:spacing w:val="-6"/>
          <w:sz w:val="24"/>
          <w:szCs w:val="24"/>
          <w:highlight w:val="none"/>
        </w:rPr>
        <w:t>（三）评标程序</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1.形式审查</w:t>
      </w:r>
    </w:p>
    <w:p>
      <w:pPr>
        <w:pStyle w:val="12"/>
        <w:snapToGrid w:val="0"/>
        <w:spacing w:beforeLines="0" w:afterLines="0" w:line="360" w:lineRule="auto"/>
        <w:ind w:firstLine="396" w:firstLineChars="200"/>
        <w:rPr>
          <w:rFonts w:hAnsi="宋体"/>
          <w:spacing w:val="-6"/>
          <w:sz w:val="21"/>
          <w:szCs w:val="21"/>
          <w:highlight w:val="none"/>
        </w:rPr>
      </w:pPr>
      <w:r>
        <w:rPr>
          <w:rFonts w:hint="eastAsia" w:hAnsi="宋体"/>
          <w:spacing w:val="-6"/>
          <w:sz w:val="21"/>
          <w:szCs w:val="21"/>
          <w:highlight w:val="none"/>
        </w:rPr>
        <w:t>招标</w:t>
      </w:r>
      <w:r>
        <w:rPr>
          <w:rFonts w:hAnsi="宋体"/>
          <w:spacing w:val="-6"/>
          <w:sz w:val="21"/>
          <w:szCs w:val="21"/>
          <w:highlight w:val="none"/>
        </w:rPr>
        <w:t>代理机构工作人员协助评标委员会对投标人的资格(投标报名时已进行资格审查的除外)和投标文件的完整性、合法性等进行审查。</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2.实质审查与比较</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（1）评标委员会审查投标文件的实质性内容是否符合招标文件的实质性要求。</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（2）评标委员会将根据投标人的投标文件进行审查、核对</w:t>
      </w:r>
      <w:r>
        <w:rPr>
          <w:rFonts w:hint="eastAsia" w:hAnsi="宋体"/>
          <w:spacing w:val="-6"/>
          <w:sz w:val="21"/>
          <w:szCs w:val="21"/>
          <w:highlight w:val="none"/>
        </w:rPr>
        <w:t>，</w:t>
      </w:r>
      <w:r>
        <w:rPr>
          <w:rFonts w:hAnsi="宋体"/>
          <w:spacing w:val="-6"/>
          <w:sz w:val="21"/>
          <w:szCs w:val="21"/>
          <w:highlight w:val="none"/>
        </w:rPr>
        <w:t>如有疑问</w:t>
      </w:r>
      <w:r>
        <w:rPr>
          <w:rFonts w:hint="eastAsia" w:hAnsi="宋体"/>
          <w:spacing w:val="-6"/>
          <w:sz w:val="21"/>
          <w:szCs w:val="21"/>
          <w:highlight w:val="none"/>
        </w:rPr>
        <w:t>，</w:t>
      </w:r>
      <w:r>
        <w:rPr>
          <w:rFonts w:hAnsi="宋体"/>
          <w:spacing w:val="-6"/>
          <w:sz w:val="21"/>
          <w:szCs w:val="21"/>
          <w:highlight w:val="none"/>
        </w:rPr>
        <w:t>将对投标人进行询标</w:t>
      </w:r>
      <w:r>
        <w:rPr>
          <w:rFonts w:hint="eastAsia" w:hAnsi="宋体"/>
          <w:spacing w:val="-6"/>
          <w:sz w:val="21"/>
          <w:szCs w:val="21"/>
          <w:highlight w:val="none"/>
        </w:rPr>
        <w:t>，</w:t>
      </w:r>
      <w:r>
        <w:rPr>
          <w:rFonts w:hAnsi="宋体"/>
          <w:spacing w:val="-6"/>
          <w:sz w:val="21"/>
          <w:szCs w:val="21"/>
          <w:highlight w:val="none"/>
        </w:rPr>
        <w:t>投标人要向评标委员会澄清有关问题</w:t>
      </w:r>
      <w:r>
        <w:rPr>
          <w:rFonts w:hint="eastAsia" w:hAnsi="宋体"/>
          <w:spacing w:val="-6"/>
          <w:sz w:val="21"/>
          <w:szCs w:val="21"/>
          <w:highlight w:val="none"/>
        </w:rPr>
        <w:t>，</w:t>
      </w:r>
      <w:r>
        <w:rPr>
          <w:rFonts w:hAnsi="宋体"/>
          <w:spacing w:val="-6"/>
          <w:sz w:val="21"/>
          <w:szCs w:val="21"/>
          <w:highlight w:val="none"/>
        </w:rPr>
        <w:t>并最终以书面形式进行答复。投标人代表拒绝澄清或者澄清的内容改变了投标文件的实质性内容的，评标委员会有权对该投标文件作出不利于投标人的评判。</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（3）评标委员会</w:t>
      </w:r>
      <w:r>
        <w:rPr>
          <w:rFonts w:hint="eastAsia" w:hAnsi="宋体"/>
          <w:spacing w:val="-6"/>
          <w:sz w:val="21"/>
          <w:szCs w:val="21"/>
          <w:highlight w:val="none"/>
        </w:rPr>
        <w:t>采用综合评分法评审打分，</w:t>
      </w:r>
      <w:r>
        <w:rPr>
          <w:rFonts w:hAnsi="宋体"/>
          <w:spacing w:val="-6"/>
          <w:sz w:val="21"/>
          <w:szCs w:val="21"/>
          <w:highlight w:val="none"/>
        </w:rPr>
        <w:t>由指定专人进行计算复核。</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（4）评分汇总，撰写评标报告。</w:t>
      </w:r>
    </w:p>
    <w:p>
      <w:pPr>
        <w:pStyle w:val="2"/>
        <w:spacing w:line="360" w:lineRule="auto"/>
        <w:ind w:firstLine="0"/>
        <w:rPr>
          <w:rFonts w:hAnsi="宋体"/>
          <w:b/>
          <w:spacing w:val="-6"/>
          <w:sz w:val="24"/>
          <w:szCs w:val="24"/>
          <w:highlight w:val="none"/>
        </w:rPr>
      </w:pPr>
      <w:r>
        <w:rPr>
          <w:rFonts w:hAnsi="宋体"/>
          <w:b/>
          <w:spacing w:val="-6"/>
          <w:sz w:val="24"/>
          <w:szCs w:val="24"/>
          <w:highlight w:val="none"/>
        </w:rPr>
        <w:t>（四）澄清问题的形式</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对于投标文件中含义不明确、同类问题表述不一致或者有明显文字和计算错误的内容，评标委员会应当以书面形式要求投标人作出必要的澄清、说明或者补正。</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投标人的澄清、说明或者补正应当采用书面形式，并加盖公章，或者由企业负责人或其授权的代表签字。投标人的澄清、说明或者补正不得超出投标文件的范围或者改变投标文件的实质性内容。</w:t>
      </w:r>
    </w:p>
    <w:p>
      <w:pPr>
        <w:pStyle w:val="2"/>
        <w:spacing w:line="360" w:lineRule="auto"/>
        <w:ind w:firstLine="0"/>
        <w:rPr>
          <w:rFonts w:hAnsi="宋体"/>
          <w:b/>
          <w:spacing w:val="-6"/>
          <w:sz w:val="24"/>
          <w:szCs w:val="24"/>
          <w:highlight w:val="none"/>
        </w:rPr>
      </w:pPr>
      <w:r>
        <w:rPr>
          <w:rFonts w:hAnsi="宋体"/>
          <w:b/>
          <w:spacing w:val="-6"/>
          <w:sz w:val="24"/>
          <w:szCs w:val="24"/>
          <w:highlight w:val="none"/>
        </w:rPr>
        <w:t>（五）错误修正</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投标文件如果出现计算上的错误，修正错误的原则如下：</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两份开标一览表投标总价不一致的，以唱标的开标一览表为准；</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w:t>
      </w:r>
      <w:r>
        <w:rPr>
          <w:rFonts w:ascii="宋体" w:hAnsi="宋体"/>
          <w:spacing w:val="-6"/>
          <w:sz w:val="21"/>
          <w:szCs w:val="21"/>
          <w:highlight w:val="none"/>
        </w:rPr>
        <w:t>.</w:t>
      </w:r>
      <w:r>
        <w:rPr>
          <w:rFonts w:hint="eastAsia" w:ascii="宋体" w:hAnsi="宋体"/>
          <w:spacing w:val="-6"/>
          <w:sz w:val="21"/>
          <w:szCs w:val="21"/>
          <w:highlight w:val="none"/>
        </w:rPr>
        <w:t>投标文件的大写金额和小写金额不一致的，以大写金额为准；</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3</w:t>
      </w:r>
      <w:r>
        <w:rPr>
          <w:rFonts w:ascii="宋体" w:hAnsi="宋体"/>
          <w:spacing w:val="-6"/>
          <w:sz w:val="21"/>
          <w:szCs w:val="21"/>
          <w:highlight w:val="none"/>
        </w:rPr>
        <w:t>.</w:t>
      </w:r>
      <w:r>
        <w:rPr>
          <w:rFonts w:hint="eastAsia" w:ascii="宋体" w:hAnsi="宋体"/>
          <w:spacing w:val="-6"/>
          <w:sz w:val="21"/>
          <w:szCs w:val="21"/>
          <w:highlight w:val="none"/>
        </w:rPr>
        <w:t>单价金额小数点有明显错位的，应以总价为准，并修改单价；</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4</w:t>
      </w:r>
      <w:r>
        <w:rPr>
          <w:rFonts w:ascii="宋体" w:hAnsi="宋体"/>
          <w:spacing w:val="-6"/>
          <w:sz w:val="21"/>
          <w:szCs w:val="21"/>
          <w:highlight w:val="none"/>
        </w:rPr>
        <w:t>.</w:t>
      </w:r>
      <w:r>
        <w:rPr>
          <w:rFonts w:hint="eastAsia" w:ascii="宋体" w:hAnsi="宋体"/>
          <w:spacing w:val="-6"/>
          <w:sz w:val="21"/>
          <w:szCs w:val="21"/>
          <w:highlight w:val="none"/>
        </w:rPr>
        <w:t>对不同文字文本投标文件的解释发生异议的，以中文文本为准。</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按上述修正错误的原则及方法调整或修正投标文件的投标报价，投标人同意并签字确认后，调整后的投标报价对投标人具有约束作用。如果投标人不接受修正后的报价，则其投标将被拒绝。</w:t>
      </w:r>
    </w:p>
    <w:p>
      <w:pPr>
        <w:pStyle w:val="2"/>
        <w:spacing w:line="360" w:lineRule="auto"/>
        <w:ind w:firstLine="0"/>
        <w:rPr>
          <w:rFonts w:hAnsi="宋体"/>
          <w:b/>
          <w:spacing w:val="-6"/>
          <w:sz w:val="24"/>
          <w:szCs w:val="24"/>
          <w:highlight w:val="none"/>
        </w:rPr>
      </w:pPr>
      <w:r>
        <w:rPr>
          <w:rFonts w:hAnsi="宋体"/>
          <w:b/>
          <w:spacing w:val="-6"/>
          <w:sz w:val="24"/>
          <w:szCs w:val="24"/>
          <w:highlight w:val="none"/>
        </w:rPr>
        <w:t>（</w:t>
      </w:r>
      <w:r>
        <w:rPr>
          <w:rFonts w:hint="eastAsia" w:hAnsi="宋体"/>
          <w:b/>
          <w:spacing w:val="-6"/>
          <w:sz w:val="24"/>
          <w:szCs w:val="24"/>
          <w:highlight w:val="none"/>
        </w:rPr>
        <w:t>六</w:t>
      </w:r>
      <w:r>
        <w:rPr>
          <w:rFonts w:hAnsi="宋体"/>
          <w:b/>
          <w:spacing w:val="-6"/>
          <w:sz w:val="24"/>
          <w:szCs w:val="24"/>
          <w:highlight w:val="none"/>
        </w:rPr>
        <w:t>）评标原则和评标办法</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评标委员会成员应当按照客观、公正、审慎的原则，根据招标文件规定的评标程序、评标方法和评标标准进行独立评审。招标文件内容违反国家有关强制性规定的，评标委员会应当停止评标并向招标人或者招标代理机构说明情况。</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w:t>
      </w:r>
      <w:r>
        <w:rPr>
          <w:rFonts w:ascii="宋体" w:hAnsi="宋体"/>
          <w:spacing w:val="-6"/>
          <w:sz w:val="21"/>
          <w:szCs w:val="21"/>
          <w:highlight w:val="none"/>
        </w:rPr>
        <w:t>.</w:t>
      </w:r>
      <w:r>
        <w:rPr>
          <w:rFonts w:hint="eastAsia" w:ascii="宋体" w:hAnsi="宋体"/>
          <w:spacing w:val="-6"/>
          <w:sz w:val="21"/>
          <w:szCs w:val="21"/>
          <w:highlight w:val="none"/>
        </w:rPr>
        <w:t>评标中因评标委员会成员缺席、回避或者健康等特殊原因导致评标委员会组成不符合规定的，依法补足后继续评标。被更换的评标委员会成员所作出的评标意见无效。</w:t>
      </w:r>
    </w:p>
    <w:p>
      <w:pPr>
        <w:spacing w:line="360" w:lineRule="auto"/>
        <w:ind w:firstLine="396" w:firstLineChars="200"/>
        <w:rPr>
          <w:rFonts w:ascii="宋体" w:hAnsi="宋体"/>
          <w:spacing w:val="-6"/>
          <w:sz w:val="21"/>
          <w:szCs w:val="21"/>
          <w:highlight w:val="none"/>
        </w:rPr>
      </w:pPr>
      <w:r>
        <w:rPr>
          <w:rFonts w:ascii="宋体" w:hAnsi="宋体"/>
          <w:spacing w:val="-6"/>
          <w:sz w:val="21"/>
          <w:szCs w:val="21"/>
          <w:highlight w:val="none"/>
        </w:rPr>
        <w:t>3.</w:t>
      </w:r>
      <w:r>
        <w:rPr>
          <w:rFonts w:hint="eastAsia" w:ascii="宋体" w:hAnsi="宋体"/>
          <w:spacing w:val="-6"/>
          <w:sz w:val="21"/>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4.评标办法。本项目评标办法是综合评分法，具体评标内容及评分标准等详见《第四章：评标办法及评分标准》。</w:t>
      </w:r>
    </w:p>
    <w:p>
      <w:pPr>
        <w:spacing w:line="360" w:lineRule="auto"/>
        <w:rPr>
          <w:rFonts w:ascii="宋体" w:hAnsi="宋体"/>
          <w:b/>
          <w:spacing w:val="-6"/>
          <w:sz w:val="24"/>
          <w:highlight w:val="none"/>
        </w:rPr>
      </w:pPr>
      <w:r>
        <w:rPr>
          <w:rFonts w:hint="eastAsia" w:ascii="宋体" w:hAnsi="宋体"/>
          <w:b/>
          <w:spacing w:val="-6"/>
          <w:sz w:val="24"/>
          <w:highlight w:val="none"/>
        </w:rPr>
        <w:t>（七） 定 标</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1.招标代理机构自评审结束之日起2个工作日内将评审报告送交招标人。招标人收到评审报告之日起</w:t>
      </w:r>
      <w:r>
        <w:rPr>
          <w:rFonts w:ascii="宋体" w:hAnsi="宋体"/>
          <w:spacing w:val="-6"/>
          <w:sz w:val="21"/>
          <w:szCs w:val="21"/>
          <w:highlight w:val="none"/>
        </w:rPr>
        <w:t>5</w:t>
      </w:r>
      <w:r>
        <w:rPr>
          <w:rFonts w:hint="eastAsia" w:ascii="宋体" w:hAnsi="宋体"/>
          <w:spacing w:val="-6"/>
          <w:sz w:val="21"/>
          <w:szCs w:val="21"/>
          <w:highlight w:val="none"/>
        </w:rPr>
        <w:t>个工作日内在评审报告推荐的中标候选人中按顺序确定中标人，招标人将根据评选委员会提交的评审报告及推荐的中标候选人，确定第一、二</w:t>
      </w:r>
      <w:r>
        <w:rPr>
          <w:rFonts w:hint="eastAsia" w:ascii="宋体" w:hAnsi="宋体"/>
          <w:spacing w:val="-6"/>
          <w:sz w:val="21"/>
          <w:szCs w:val="21"/>
          <w:highlight w:val="none"/>
          <w:lang w:eastAsia="zh-CN"/>
        </w:rPr>
        <w:t>、</w:t>
      </w:r>
      <w:r>
        <w:rPr>
          <w:rFonts w:hint="eastAsia" w:ascii="宋体" w:hAnsi="宋体"/>
          <w:spacing w:val="-6"/>
          <w:sz w:val="21"/>
          <w:szCs w:val="21"/>
          <w:highlight w:val="none"/>
          <w:lang w:val="en-US" w:eastAsia="zh-CN"/>
        </w:rPr>
        <w:t>三、四、五、六、七</w:t>
      </w:r>
      <w:r>
        <w:rPr>
          <w:rFonts w:hint="eastAsia" w:ascii="宋体" w:hAnsi="宋体"/>
          <w:spacing w:val="-6"/>
          <w:sz w:val="21"/>
          <w:szCs w:val="21"/>
          <w:highlight w:val="none"/>
        </w:rPr>
        <w:t>为中标人。</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2.招标代理机构自中标人确定之日起</w:t>
      </w:r>
      <w:r>
        <w:rPr>
          <w:rFonts w:ascii="宋体" w:hAnsi="宋体"/>
          <w:spacing w:val="-6"/>
          <w:sz w:val="21"/>
          <w:szCs w:val="21"/>
          <w:highlight w:val="none"/>
        </w:rPr>
        <w:t>2</w:t>
      </w:r>
      <w:r>
        <w:rPr>
          <w:rFonts w:hint="eastAsia" w:ascii="宋体" w:hAnsi="宋体"/>
          <w:spacing w:val="-6"/>
          <w:sz w:val="21"/>
          <w:szCs w:val="21"/>
          <w:highlight w:val="none"/>
        </w:rPr>
        <w:t>个工作日内，发出中标通知书，并在浙江政府采购网</w:t>
      </w:r>
      <w:r>
        <w:rPr>
          <w:rFonts w:hint="eastAsia" w:ascii="宋体" w:hAnsi="宋体"/>
          <w:sz w:val="21"/>
          <w:szCs w:val="21"/>
          <w:highlight w:val="none"/>
        </w:rPr>
        <w:t>（</w:t>
      </w:r>
      <w:r>
        <w:rPr>
          <w:highlight w:val="none"/>
        </w:rPr>
        <w:fldChar w:fldCharType="begin"/>
      </w:r>
      <w:r>
        <w:rPr>
          <w:highlight w:val="none"/>
        </w:rPr>
        <w:instrText xml:space="preserve"> HYPERLINK "http://www.zjzfcg.gov.cn/" </w:instrText>
      </w:r>
      <w:r>
        <w:rPr>
          <w:highlight w:val="none"/>
        </w:rPr>
        <w:fldChar w:fldCharType="separate"/>
      </w:r>
      <w:r>
        <w:rPr>
          <w:rFonts w:hint="eastAsia" w:ascii="宋体" w:hAnsi="宋体"/>
          <w:sz w:val="21"/>
          <w:szCs w:val="21"/>
          <w:highlight w:val="none"/>
        </w:rPr>
        <w:t>http://www.zjzfcg.gov.cn</w:t>
      </w:r>
      <w:r>
        <w:rPr>
          <w:rFonts w:hint="eastAsia" w:ascii="宋体" w:hAnsi="宋体"/>
          <w:sz w:val="21"/>
          <w:szCs w:val="21"/>
          <w:highlight w:val="none"/>
        </w:rPr>
        <w:fldChar w:fldCharType="end"/>
      </w:r>
      <w:r>
        <w:rPr>
          <w:rFonts w:hint="eastAsia" w:ascii="宋体" w:hAnsi="宋体"/>
          <w:sz w:val="21"/>
          <w:szCs w:val="21"/>
          <w:highlight w:val="none"/>
        </w:rPr>
        <w:t>）等相关网站或媒体</w:t>
      </w:r>
      <w:r>
        <w:rPr>
          <w:rFonts w:hint="eastAsia" w:ascii="宋体" w:hAnsi="宋体"/>
          <w:spacing w:val="-6"/>
          <w:sz w:val="21"/>
          <w:szCs w:val="21"/>
          <w:highlight w:val="none"/>
        </w:rPr>
        <w:t>上公告中标结果。</w:t>
      </w:r>
    </w:p>
    <w:p>
      <w:pPr>
        <w:spacing w:line="360" w:lineRule="auto"/>
        <w:rPr>
          <w:rFonts w:ascii="宋体" w:hAnsi="宋体"/>
          <w:spacing w:val="-6"/>
          <w:sz w:val="24"/>
          <w:highlight w:val="none"/>
        </w:rPr>
      </w:pPr>
      <w:r>
        <w:rPr>
          <w:rFonts w:hint="eastAsia" w:ascii="宋体" w:hAnsi="宋体"/>
          <w:b/>
          <w:bCs/>
          <w:spacing w:val="-6"/>
          <w:sz w:val="24"/>
          <w:highlight w:val="none"/>
        </w:rPr>
        <w:t>（八） 合同授予</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招标人应当自中标通知书发出之日起30日内，按照招标文件和中标人投标文件的规定，与中标人签订书面合同。所签订的合同不得对招标文件确定的事项和中标人投标文件作实质性修改。招标人不得向中标人提出任何不合理的要求作为签订合同的条件。</w:t>
      </w:r>
    </w:p>
    <w:p>
      <w:pPr>
        <w:spacing w:line="360" w:lineRule="auto"/>
        <w:ind w:firstLine="398" w:firstLineChars="200"/>
        <w:jc w:val="center"/>
        <w:outlineLvl w:val="1"/>
        <w:rPr>
          <w:rFonts w:ascii="宋体" w:hAnsi="宋体"/>
          <w:sz w:val="24"/>
          <w:highlight w:val="none"/>
        </w:rPr>
      </w:pPr>
      <w:r>
        <w:rPr>
          <w:rFonts w:ascii="宋体" w:hAnsi="宋体"/>
          <w:b/>
          <w:bCs/>
          <w:spacing w:val="-6"/>
          <w:sz w:val="21"/>
          <w:szCs w:val="21"/>
          <w:highlight w:val="none"/>
        </w:rPr>
        <w:br w:type="page"/>
      </w:r>
      <w:r>
        <w:rPr>
          <w:rFonts w:hint="eastAsia" w:ascii="宋体" w:hAnsi="宋体"/>
          <w:b/>
          <w:spacing w:val="-6"/>
          <w:sz w:val="32"/>
          <w:szCs w:val="32"/>
          <w:highlight w:val="none"/>
        </w:rPr>
        <w:t>六、可中止电子交易活动的情形</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采购过程中出现以下情形，导致电子交易平台无法正常运行，或者无法保证电子交易的公平、公正和安全时，采购代理机构可中止电子交易活动：</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1.电子交易平台发生故障而无法登录访问的；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2.电子交易平台应用或数据库出现错误，不能进行正常操作的；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3.电子交易平台发现严重安全漏洞，有潜在泄密危险的；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4.病毒发作导致不能进行正常操作的；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5.其他无法保证电子交易的公平、公正和安全的情况。</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出现前款规定情形，不影响采购公平、公正性的，采购代理机构可以待上述情形消除后继续组织电子交易活动；影响或可能影响采购公平、公正性的，应当重新采购。</w:t>
      </w:r>
    </w:p>
    <w:p>
      <w:pPr>
        <w:spacing w:line="360" w:lineRule="auto"/>
        <w:rPr>
          <w:rFonts w:ascii="宋体" w:hAnsi="宋体"/>
          <w:spacing w:val="-6"/>
          <w:sz w:val="21"/>
          <w:szCs w:val="21"/>
          <w:highlight w:val="none"/>
        </w:rPr>
      </w:pPr>
      <w:r>
        <w:rPr>
          <w:rFonts w:hint="eastAsia" w:ascii="宋体" w:hAnsi="宋体"/>
          <w:spacing w:val="-6"/>
          <w:sz w:val="21"/>
          <w:szCs w:val="21"/>
          <w:highlight w:val="none"/>
        </w:rPr>
        <w:br w:type="page"/>
      </w:r>
    </w:p>
    <w:p>
      <w:pPr>
        <w:spacing w:line="360" w:lineRule="auto"/>
        <w:jc w:val="center"/>
        <w:outlineLvl w:val="0"/>
        <w:rPr>
          <w:rFonts w:ascii="宋体" w:hAnsi="宋体"/>
          <w:b/>
          <w:spacing w:val="-6"/>
          <w:sz w:val="21"/>
          <w:szCs w:val="21"/>
          <w:highlight w:val="none"/>
        </w:rPr>
      </w:pPr>
      <w:r>
        <w:rPr>
          <w:rFonts w:hint="eastAsia" w:ascii="宋体" w:hAnsi="宋体"/>
          <w:b/>
          <w:sz w:val="32"/>
          <w:szCs w:val="32"/>
          <w:highlight w:val="none"/>
        </w:rPr>
        <w:t>第四章  评标办法及评分标准</w:t>
      </w:r>
    </w:p>
    <w:p>
      <w:pPr>
        <w:numPr>
          <w:ilvl w:val="0"/>
          <w:numId w:val="3"/>
        </w:numPr>
        <w:spacing w:line="360" w:lineRule="auto"/>
        <w:rPr>
          <w:rFonts w:ascii="宋体" w:hAnsi="宋体"/>
          <w:b/>
          <w:spacing w:val="-6"/>
          <w:sz w:val="21"/>
          <w:szCs w:val="21"/>
          <w:highlight w:val="none"/>
        </w:rPr>
      </w:pPr>
      <w:r>
        <w:rPr>
          <w:rFonts w:hint="eastAsia" w:ascii="宋体" w:hAnsi="宋体"/>
          <w:b/>
          <w:spacing w:val="-6"/>
          <w:sz w:val="21"/>
          <w:szCs w:val="21"/>
          <w:highlight w:val="none"/>
        </w:rPr>
        <w:t>总则</w:t>
      </w:r>
    </w:p>
    <w:p>
      <w:pPr>
        <w:spacing w:line="360" w:lineRule="auto"/>
        <w:ind w:firstLine="396" w:firstLineChars="200"/>
        <w:rPr>
          <w:rFonts w:ascii="宋体" w:hAnsi="宋体"/>
          <w:bCs/>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投标人定期存</w:t>
      </w:r>
      <w:r>
        <w:rPr>
          <w:rFonts w:hint="eastAsia" w:ascii="宋体" w:hAnsi="宋体"/>
          <w:bCs/>
          <w:spacing w:val="-6"/>
          <w:sz w:val="21"/>
          <w:szCs w:val="21"/>
          <w:highlight w:val="none"/>
        </w:rPr>
        <w:t>款投标利率应符合国家利率政策相关规定和浙江省市场利率定价自律机制约定范围。</w:t>
      </w:r>
    </w:p>
    <w:p>
      <w:pPr>
        <w:spacing w:line="360" w:lineRule="auto"/>
        <w:ind w:firstLine="396" w:firstLineChars="200"/>
        <w:rPr>
          <w:rFonts w:ascii="宋体" w:hAnsi="宋体"/>
          <w:bCs/>
          <w:spacing w:val="-6"/>
          <w:sz w:val="21"/>
          <w:szCs w:val="21"/>
          <w:highlight w:val="none"/>
        </w:rPr>
      </w:pPr>
      <w:r>
        <w:rPr>
          <w:rFonts w:hint="eastAsia" w:ascii="宋体" w:hAnsi="宋体"/>
          <w:bCs/>
          <w:spacing w:val="-6"/>
          <w:sz w:val="21"/>
          <w:szCs w:val="21"/>
          <w:highlight w:val="none"/>
        </w:rPr>
        <w:t>2</w:t>
      </w:r>
      <w:r>
        <w:rPr>
          <w:rFonts w:ascii="宋体" w:hAnsi="宋体"/>
          <w:bCs/>
          <w:spacing w:val="-6"/>
          <w:sz w:val="21"/>
          <w:szCs w:val="21"/>
          <w:highlight w:val="none"/>
        </w:rPr>
        <w:t>.采</w:t>
      </w:r>
      <w:r>
        <w:rPr>
          <w:rFonts w:hint="eastAsia" w:ascii="宋体" w:hAnsi="宋体"/>
          <w:bCs/>
          <w:spacing w:val="-6"/>
          <w:sz w:val="21"/>
          <w:szCs w:val="21"/>
          <w:highlight w:val="none"/>
        </w:rPr>
        <w:t>用综合评分法，总分为100分。合格投标人的评标得分为各项目汇总得分，中标资格按照评标总得分由高到低顺序排列，得分相同的，依次按定期存款利率、服务水平、经营状况、经济贡献度指标分值由高到低排序，全部相同采用抽签决定，依次推荐</w:t>
      </w:r>
      <w:r>
        <w:rPr>
          <w:rFonts w:hint="eastAsia" w:ascii="宋体" w:hAnsi="宋体"/>
          <w:bCs/>
          <w:spacing w:val="-6"/>
          <w:sz w:val="21"/>
          <w:szCs w:val="21"/>
          <w:highlight w:val="none"/>
          <w:lang w:val="en-US" w:eastAsia="zh-CN"/>
        </w:rPr>
        <w:t>八</w:t>
      </w:r>
      <w:r>
        <w:rPr>
          <w:rFonts w:hint="eastAsia" w:ascii="宋体" w:hAnsi="宋体"/>
          <w:bCs/>
          <w:spacing w:val="-6"/>
          <w:sz w:val="21"/>
          <w:szCs w:val="21"/>
          <w:highlight w:val="none"/>
        </w:rPr>
        <w:t>名中标候选人，并编写评选报告。评分过程中采用四舍五入法，并保留小数2位。</w:t>
      </w:r>
    </w:p>
    <w:p>
      <w:pPr>
        <w:spacing w:line="360" w:lineRule="auto"/>
        <w:ind w:firstLine="396" w:firstLineChars="200"/>
        <w:rPr>
          <w:rFonts w:ascii="宋体" w:hAnsi="宋体"/>
          <w:bCs/>
          <w:spacing w:val="-6"/>
          <w:sz w:val="21"/>
          <w:szCs w:val="21"/>
          <w:highlight w:val="none"/>
        </w:rPr>
      </w:pPr>
      <w:r>
        <w:rPr>
          <w:rFonts w:hint="eastAsia" w:ascii="宋体" w:hAnsi="宋体"/>
          <w:bCs/>
          <w:spacing w:val="-6"/>
          <w:sz w:val="21"/>
          <w:szCs w:val="21"/>
          <w:highlight w:val="none"/>
        </w:rPr>
        <w:t>投标人评标综合得分=定期存款利率水平指标分值+服务水平指标分值+经营状况指标分值+经济贡献度指标分值，服务水平、经营状况、经济贡献度指标分值按照评标委员会成员的独立评分结果汇总数的算术平均分计算，计算公式为：服务水平、经营状况、经济贡献度指标分值=评标委员会所有成员评分合计数÷评标委员会人数。</w:t>
      </w:r>
    </w:p>
    <w:p>
      <w:pPr>
        <w:spacing w:line="360" w:lineRule="auto"/>
        <w:rPr>
          <w:rFonts w:ascii="宋体" w:hAnsi="宋体"/>
          <w:b/>
          <w:spacing w:val="-6"/>
          <w:sz w:val="21"/>
          <w:szCs w:val="21"/>
          <w:highlight w:val="none"/>
        </w:rPr>
      </w:pPr>
      <w:r>
        <w:rPr>
          <w:rFonts w:hint="eastAsia" w:ascii="宋体" w:hAnsi="宋体"/>
          <w:b/>
          <w:spacing w:val="-6"/>
          <w:sz w:val="21"/>
          <w:szCs w:val="21"/>
          <w:highlight w:val="none"/>
        </w:rPr>
        <w:t>二、评标内容及标准</w:t>
      </w:r>
    </w:p>
    <w:tbl>
      <w:tblPr>
        <w:tblStyle w:val="24"/>
        <w:tblW w:w="101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3"/>
        <w:gridCol w:w="1322"/>
        <w:gridCol w:w="663"/>
        <w:gridCol w:w="7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405" w:type="dxa"/>
            <w:gridSpan w:val="2"/>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b/>
                <w:bCs/>
                <w:color w:val="auto"/>
                <w:sz w:val="21"/>
                <w:szCs w:val="21"/>
                <w:highlight w:val="none"/>
              </w:rPr>
            </w:pPr>
            <w:r>
              <w:rPr>
                <w:rFonts w:hint="eastAsia" w:ascii="宋体" w:hAnsi="宋体" w:cs="宋体"/>
                <w:b/>
                <w:bCs/>
                <w:color w:val="auto"/>
                <w:sz w:val="21"/>
                <w:szCs w:val="21"/>
                <w:highlight w:val="none"/>
              </w:rPr>
              <w:t>评分项目</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b/>
                <w:bCs/>
                <w:color w:val="auto"/>
                <w:sz w:val="21"/>
                <w:szCs w:val="21"/>
                <w:highlight w:val="none"/>
              </w:rPr>
            </w:pPr>
            <w:r>
              <w:rPr>
                <w:rFonts w:hint="eastAsia" w:ascii="宋体" w:hAnsi="宋体" w:cs="宋体"/>
                <w:b/>
                <w:bCs/>
                <w:color w:val="auto"/>
                <w:sz w:val="21"/>
                <w:szCs w:val="21"/>
                <w:highlight w:val="none"/>
              </w:rPr>
              <w:t>分值</w:t>
            </w:r>
          </w:p>
        </w:tc>
        <w:tc>
          <w:tcPr>
            <w:tcW w:w="7034"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b/>
                <w:bCs/>
                <w:color w:val="auto"/>
                <w:sz w:val="21"/>
                <w:szCs w:val="21"/>
                <w:highlight w:val="none"/>
              </w:rPr>
            </w:pPr>
            <w:r>
              <w:rPr>
                <w:rFonts w:hint="eastAsia" w:ascii="宋体" w:hAnsi="宋体" w:cs="宋体"/>
                <w:b/>
                <w:bCs/>
                <w:color w:val="auto"/>
                <w:sz w:val="21"/>
                <w:szCs w:val="21"/>
                <w:highlight w:val="none"/>
              </w:rPr>
              <w:t>评标要点及说明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3" w:type="dxa"/>
            <w:vAlign w:val="center"/>
          </w:tcPr>
          <w:p>
            <w:pPr>
              <w:keepNext w:val="0"/>
              <w:keepLines w:val="0"/>
              <w:suppressLineNumbers w:val="0"/>
              <w:autoSpaceDE w:val="0"/>
              <w:autoSpaceDN w:val="0"/>
              <w:spacing w:before="0" w:beforeAutospacing="0" w:after="0" w:afterAutospacing="0" w:line="288"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利率水平指标</w:t>
            </w:r>
          </w:p>
          <w:p>
            <w:pPr>
              <w:keepNext w:val="0"/>
              <w:keepLines w:val="0"/>
              <w:suppressLineNumbers w:val="0"/>
              <w:autoSpaceDE w:val="0"/>
              <w:autoSpaceDN w:val="0"/>
              <w:spacing w:before="0" w:beforeAutospacing="0" w:after="0" w:afterAutospacing="0" w:line="288"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1</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分)</w:t>
            </w:r>
          </w:p>
        </w:tc>
        <w:tc>
          <w:tcPr>
            <w:tcW w:w="1322"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利率报价</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15</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pacing w:val="-6"/>
                <w:sz w:val="21"/>
                <w:szCs w:val="21"/>
                <w:highlight w:val="none"/>
              </w:rPr>
            </w:pPr>
            <w:r>
              <w:rPr>
                <w:rFonts w:hint="eastAsia" w:ascii="宋体" w:hAnsi="宋体" w:cs="宋体"/>
                <w:color w:val="auto"/>
                <w:spacing w:val="-6"/>
                <w:sz w:val="21"/>
                <w:szCs w:val="21"/>
                <w:highlight w:val="none"/>
              </w:rPr>
              <w:t>满足招标文件要求且一年定期存款年利率报价最高的为评标基准价，其他投标银行的报价得分按照下列公式计算：利率报价得分=（一年定期存款年利率/评标基准价）×</w:t>
            </w:r>
            <w:r>
              <w:rPr>
                <w:rFonts w:hint="eastAsia" w:ascii="宋体" w:hAnsi="宋体" w:cs="宋体"/>
                <w:color w:val="auto"/>
                <w:spacing w:val="-6"/>
                <w:sz w:val="21"/>
                <w:szCs w:val="21"/>
                <w:highlight w:val="none"/>
                <w:lang w:val="en-US" w:eastAsia="zh-CN"/>
              </w:rPr>
              <w:t>15</w:t>
            </w:r>
            <w:r>
              <w:rPr>
                <w:rFonts w:hint="eastAsia" w:ascii="宋体" w:hAnsi="宋体" w:cs="宋体"/>
                <w:color w:val="auto"/>
                <w:spacing w:val="-6"/>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083" w:type="dxa"/>
            <w:vMerge w:val="restart"/>
            <w:vAlign w:val="center"/>
          </w:tcPr>
          <w:p>
            <w:pPr>
              <w:keepNext w:val="0"/>
              <w:keepLines w:val="0"/>
              <w:suppressLineNumbers w:val="0"/>
              <w:autoSpaceDE w:val="0"/>
              <w:autoSpaceDN w:val="0"/>
              <w:spacing w:before="0" w:beforeAutospacing="0" w:after="0" w:afterAutospacing="0" w:line="288"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服务水平指标</w:t>
            </w:r>
          </w:p>
          <w:p>
            <w:pPr>
              <w:keepNext w:val="0"/>
              <w:keepLines w:val="0"/>
              <w:suppressLineNumbers w:val="0"/>
              <w:autoSpaceDE w:val="0"/>
              <w:autoSpaceDN w:val="0"/>
              <w:spacing w:before="0" w:beforeAutospacing="0" w:after="0" w:afterAutospacing="0" w:line="288"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分)</w:t>
            </w:r>
          </w:p>
        </w:tc>
        <w:tc>
          <w:tcPr>
            <w:tcW w:w="1322" w:type="dxa"/>
            <w:vMerge w:val="restart"/>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cs="宋体"/>
                <w:color w:val="auto"/>
                <w:sz w:val="21"/>
                <w:szCs w:val="21"/>
                <w:highlight w:val="none"/>
              </w:rPr>
            </w:pPr>
            <w:r>
              <w:rPr>
                <w:rFonts w:hint="eastAsia" w:ascii="宋体" w:hAnsi="宋体" w:cs="宋体"/>
                <w:color w:val="auto"/>
                <w:kern w:val="0"/>
                <w:sz w:val="21"/>
                <w:szCs w:val="21"/>
                <w:highlight w:val="none"/>
              </w:rPr>
              <w:t>既往服务情况</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eastAsia="宋体" w:cs="宋体"/>
                <w:color w:val="auto"/>
                <w:sz w:val="21"/>
                <w:szCs w:val="21"/>
                <w:highlight w:val="none"/>
                <w:lang w:val="en-US" w:eastAsia="zh-CN"/>
              </w:rPr>
            </w:pPr>
            <w:r>
              <w:rPr>
                <w:rFonts w:hint="default" w:ascii="宋体" w:hAnsi="宋体" w:cs="宋体"/>
                <w:color w:val="auto"/>
                <w:sz w:val="21"/>
                <w:szCs w:val="21"/>
              </w:rPr>
              <w:t>5</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pacing w:val="-6"/>
                <w:sz w:val="21"/>
                <w:szCs w:val="21"/>
                <w:highlight w:val="none"/>
              </w:rPr>
            </w:pPr>
            <w:r>
              <w:rPr>
                <w:rFonts w:hint="eastAsia" w:ascii="宋体" w:hAnsi="宋体" w:cs="宋体"/>
                <w:color w:val="auto"/>
                <w:spacing w:val="-6"/>
                <w:sz w:val="21"/>
                <w:szCs w:val="21"/>
              </w:rPr>
              <w:t>投标银行2</w:t>
            </w:r>
            <w:r>
              <w:rPr>
                <w:rFonts w:hint="default" w:ascii="宋体" w:hAnsi="宋体" w:cs="宋体"/>
                <w:color w:val="auto"/>
                <w:spacing w:val="-6"/>
                <w:sz w:val="21"/>
                <w:szCs w:val="21"/>
              </w:rPr>
              <w:t>021</w:t>
            </w:r>
            <w:r>
              <w:rPr>
                <w:rFonts w:hint="eastAsia" w:ascii="宋体" w:hAnsi="宋体" w:cs="宋体"/>
                <w:color w:val="auto"/>
                <w:spacing w:val="-6"/>
                <w:sz w:val="21"/>
                <w:szCs w:val="21"/>
              </w:rPr>
              <w:t>年以来为浙江金融职业学院提供过教学科研事业的支持。（需提供相关证明材料，不提供不得分，优得4</w:t>
            </w:r>
            <w:r>
              <w:rPr>
                <w:rFonts w:hint="default" w:ascii="宋体" w:hAnsi="宋体" w:cs="宋体"/>
                <w:color w:val="auto"/>
                <w:spacing w:val="-6"/>
                <w:sz w:val="21"/>
                <w:szCs w:val="21"/>
              </w:rPr>
              <w:t>-5</w:t>
            </w:r>
            <w:r>
              <w:rPr>
                <w:rFonts w:hint="eastAsia" w:ascii="宋体" w:hAnsi="宋体" w:cs="宋体"/>
                <w:color w:val="auto"/>
                <w:spacing w:val="-6"/>
                <w:sz w:val="21"/>
                <w:szCs w:val="21"/>
              </w:rPr>
              <w:t>分、良得2</w:t>
            </w:r>
            <w:r>
              <w:rPr>
                <w:rFonts w:hint="default" w:ascii="宋体" w:hAnsi="宋体" w:cs="宋体"/>
                <w:color w:val="auto"/>
                <w:spacing w:val="-6"/>
                <w:sz w:val="21"/>
                <w:szCs w:val="21"/>
              </w:rPr>
              <w:t>-3</w:t>
            </w:r>
            <w:r>
              <w:rPr>
                <w:rFonts w:hint="eastAsia" w:ascii="宋体" w:hAnsi="宋体" w:cs="宋体"/>
                <w:color w:val="auto"/>
                <w:spacing w:val="-6"/>
                <w:sz w:val="21"/>
                <w:szCs w:val="21"/>
              </w:rPr>
              <w:t>分、一般得0</w:t>
            </w:r>
            <w:r>
              <w:rPr>
                <w:rFonts w:hint="default" w:ascii="宋体" w:hAnsi="宋体" w:cs="宋体"/>
                <w:color w:val="auto"/>
                <w:spacing w:val="-6"/>
                <w:sz w:val="21"/>
                <w:szCs w:val="21"/>
              </w:rPr>
              <w:t>-1</w:t>
            </w:r>
            <w:r>
              <w:rPr>
                <w:rFonts w:hint="eastAsia" w:ascii="宋体" w:hAnsi="宋体" w:cs="宋体"/>
                <w:color w:val="auto"/>
                <w:spacing w:val="-6"/>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083" w:type="dxa"/>
            <w:vMerge w:val="continue"/>
            <w:vAlign w:val="center"/>
          </w:tcPr>
          <w:p>
            <w:pPr>
              <w:keepNext w:val="0"/>
              <w:keepLines w:val="0"/>
              <w:suppressLineNumbers w:val="0"/>
              <w:snapToGrid w:val="0"/>
              <w:spacing w:before="0" w:beforeAutospacing="0" w:after="0" w:afterAutospacing="0" w:line="288" w:lineRule="auto"/>
              <w:ind w:left="0" w:right="0"/>
              <w:jc w:val="center"/>
              <w:rPr>
                <w:rFonts w:hint="default"/>
                <w:color w:val="auto"/>
              </w:rPr>
            </w:pPr>
          </w:p>
        </w:tc>
        <w:tc>
          <w:tcPr>
            <w:tcW w:w="1322" w:type="dxa"/>
            <w:vMerge w:val="continue"/>
            <w:vAlign w:val="center"/>
          </w:tcPr>
          <w:p>
            <w:pPr>
              <w:keepNext w:val="0"/>
              <w:keepLines w:val="0"/>
              <w:suppressLineNumbers w:val="0"/>
              <w:snapToGrid w:val="0"/>
              <w:spacing w:before="0" w:beforeAutospacing="0" w:after="0" w:afterAutospacing="0" w:line="288" w:lineRule="auto"/>
              <w:ind w:left="0" w:right="0"/>
              <w:jc w:val="center"/>
              <w:rPr>
                <w:rFonts w:hint="default"/>
                <w:color w:val="auto"/>
              </w:rPr>
            </w:pP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color w:val="auto"/>
              </w:rPr>
            </w:pPr>
            <w:r>
              <w:rPr>
                <w:rFonts w:hint="eastAsia" w:ascii="宋体" w:hAnsi="宋体" w:cs="宋体"/>
                <w:color w:val="auto"/>
                <w:sz w:val="21"/>
                <w:szCs w:val="21"/>
              </w:rPr>
              <w:t>2</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z w:val="21"/>
                <w:szCs w:val="21"/>
              </w:rPr>
            </w:pPr>
            <w:r>
              <w:rPr>
                <w:rFonts w:hint="eastAsia" w:ascii="宋体" w:hAnsi="宋体" w:cs="宋体"/>
                <w:color w:val="auto"/>
                <w:kern w:val="0"/>
                <w:sz w:val="21"/>
                <w:szCs w:val="21"/>
              </w:rPr>
              <w:t>投标银行2</w:t>
            </w:r>
            <w:r>
              <w:rPr>
                <w:rFonts w:hint="default" w:ascii="宋体" w:hAnsi="宋体" w:cs="宋体"/>
                <w:color w:val="auto"/>
                <w:kern w:val="0"/>
                <w:sz w:val="21"/>
                <w:szCs w:val="21"/>
              </w:rPr>
              <w:t>021</w:t>
            </w:r>
            <w:r>
              <w:rPr>
                <w:rFonts w:hint="eastAsia" w:ascii="宋体" w:hAnsi="宋体" w:cs="宋体"/>
                <w:color w:val="auto"/>
                <w:kern w:val="0"/>
                <w:sz w:val="21"/>
                <w:szCs w:val="21"/>
              </w:rPr>
              <w:t>年以来为浙江金融职业学院提供过金融服务的，每项得1分，最高不超过2分。金融服务包括但不限于账户结算服务、代理服务、授信服务（非个人）、上门服务等对公业务方面。（</w:t>
            </w:r>
            <w:r>
              <w:rPr>
                <w:rFonts w:hint="eastAsia" w:ascii="宋体" w:hAnsi="宋体" w:cs="宋体"/>
                <w:color w:val="auto"/>
                <w:kern w:val="0"/>
                <w:sz w:val="21"/>
                <w:szCs w:val="21"/>
                <w:lang w:bidi="ar"/>
              </w:rPr>
              <w:t>需提供业务证明资料，业务资料能够识别服务时间、服务内容等要素</w:t>
            </w:r>
            <w:r>
              <w:rPr>
                <w:rFonts w:hint="eastAsia" w:ascii="宋体" w:hAnsi="宋体" w:cs="宋体"/>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3" w:type="dxa"/>
            <w:vMerge w:val="continue"/>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cs="宋体"/>
                <w:bCs/>
                <w:color w:val="auto"/>
                <w:sz w:val="21"/>
                <w:szCs w:val="21"/>
                <w:highlight w:val="none"/>
              </w:rPr>
            </w:pPr>
          </w:p>
        </w:tc>
        <w:tc>
          <w:tcPr>
            <w:tcW w:w="1322"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rPr>
              <w:t>发展服务方案承诺</w:t>
            </w:r>
          </w:p>
        </w:tc>
        <w:tc>
          <w:tcPr>
            <w:tcW w:w="663"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cs="宋体"/>
                <w:color w:val="auto"/>
                <w:sz w:val="21"/>
                <w:szCs w:val="21"/>
                <w:highlight w:val="none"/>
              </w:rPr>
            </w:pPr>
            <w:r>
              <w:rPr>
                <w:rFonts w:hint="default" w:ascii="宋体" w:hAnsi="宋体" w:cs="宋体"/>
                <w:color w:val="auto"/>
                <w:kern w:val="0"/>
                <w:sz w:val="21"/>
                <w:szCs w:val="21"/>
              </w:rPr>
              <w:t>18</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pacing w:val="-6"/>
                <w:sz w:val="21"/>
                <w:szCs w:val="21"/>
                <w:highlight w:val="none"/>
              </w:rPr>
            </w:pPr>
            <w:r>
              <w:rPr>
                <w:rFonts w:hint="eastAsia" w:ascii="宋体" w:hAnsi="宋体" w:cs="宋体"/>
                <w:color w:val="auto"/>
                <w:spacing w:val="-6"/>
                <w:sz w:val="21"/>
                <w:szCs w:val="21"/>
              </w:rPr>
              <w:t>投标银行对浙江金融职业学院金融服务的具体方案及承诺，包括但不限于：未来对学校教学科研事业支持的承诺、提前用款承诺、日常服务承诺等。（需提供相关方案，不提供不得分，优得</w:t>
            </w:r>
            <w:r>
              <w:rPr>
                <w:rFonts w:hint="default" w:ascii="宋体" w:hAnsi="宋体" w:cs="宋体"/>
                <w:color w:val="auto"/>
                <w:spacing w:val="-6"/>
                <w:sz w:val="21"/>
                <w:szCs w:val="21"/>
              </w:rPr>
              <w:t>18-12</w:t>
            </w:r>
            <w:r>
              <w:rPr>
                <w:rFonts w:hint="eastAsia" w:ascii="宋体" w:hAnsi="宋体" w:cs="宋体"/>
                <w:color w:val="auto"/>
                <w:spacing w:val="-6"/>
                <w:sz w:val="21"/>
                <w:szCs w:val="21"/>
              </w:rPr>
              <w:t>分、良得1</w:t>
            </w:r>
            <w:r>
              <w:rPr>
                <w:rFonts w:hint="default" w:ascii="宋体" w:hAnsi="宋体" w:cs="宋体"/>
                <w:color w:val="auto"/>
                <w:spacing w:val="-6"/>
                <w:sz w:val="21"/>
                <w:szCs w:val="21"/>
              </w:rPr>
              <w:t>1-6</w:t>
            </w:r>
            <w:r>
              <w:rPr>
                <w:rFonts w:hint="eastAsia" w:ascii="宋体" w:hAnsi="宋体" w:cs="宋体"/>
                <w:color w:val="auto"/>
                <w:spacing w:val="-6"/>
                <w:sz w:val="21"/>
                <w:szCs w:val="21"/>
              </w:rPr>
              <w:t>分、一般得0</w:t>
            </w:r>
            <w:r>
              <w:rPr>
                <w:rFonts w:hint="default" w:ascii="宋体" w:hAnsi="宋体" w:cs="宋体"/>
                <w:color w:val="auto"/>
                <w:spacing w:val="-6"/>
                <w:sz w:val="21"/>
                <w:szCs w:val="21"/>
              </w:rPr>
              <w:t>-5</w:t>
            </w:r>
            <w:r>
              <w:rPr>
                <w:rFonts w:hint="eastAsia" w:ascii="宋体" w:hAnsi="宋体" w:cs="宋体"/>
                <w:color w:val="auto"/>
                <w:spacing w:val="-6"/>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083" w:type="dxa"/>
            <w:vMerge w:val="restart"/>
            <w:vAlign w:val="center"/>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r>
              <w:rPr>
                <w:rFonts w:hint="eastAsia" w:ascii="宋体" w:hAnsi="宋体" w:cs="宋体"/>
                <w:b/>
                <w:bCs/>
                <w:color w:val="auto"/>
                <w:sz w:val="21"/>
                <w:szCs w:val="21"/>
                <w:highlight w:val="none"/>
              </w:rPr>
              <w:t>经营状况指标</w:t>
            </w:r>
          </w:p>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r>
              <w:rPr>
                <w:rFonts w:hint="eastAsia" w:ascii="宋体" w:hAnsi="宋体" w:cs="宋体"/>
                <w:b/>
                <w:bCs/>
                <w:color w:val="auto"/>
                <w:sz w:val="21"/>
                <w:szCs w:val="21"/>
                <w:highlight w:val="none"/>
              </w:rPr>
              <w:t>(30分)</w:t>
            </w:r>
          </w:p>
        </w:tc>
        <w:tc>
          <w:tcPr>
            <w:tcW w:w="1322"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1.资产质量</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default" w:ascii="宋体" w:hAnsi="宋体" w:cs="宋体"/>
                <w:color w:val="auto"/>
                <w:sz w:val="21"/>
                <w:szCs w:val="21"/>
                <w:highlight w:val="none"/>
              </w:rPr>
              <w:t>6</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z w:val="21"/>
                <w:szCs w:val="21"/>
                <w:highlight w:val="none"/>
              </w:rPr>
            </w:pPr>
            <w:r>
              <w:rPr>
                <w:rFonts w:hint="eastAsia" w:ascii="宋体" w:hAnsi="宋体" w:cs="宋体"/>
                <w:color w:val="auto"/>
                <w:kern w:val="0"/>
                <w:sz w:val="21"/>
                <w:szCs w:val="21"/>
                <w:highlight w:val="none"/>
              </w:rPr>
              <w:t>根据投标银行不良</w:t>
            </w:r>
            <w:r>
              <w:rPr>
                <w:rFonts w:hint="eastAsia" w:ascii="宋体" w:hAnsi="宋体" w:cs="宋体"/>
                <w:color w:val="auto"/>
                <w:kern w:val="0"/>
                <w:sz w:val="21"/>
                <w:szCs w:val="21"/>
                <w:highlight w:val="none"/>
                <w:lang w:val="en-US" w:eastAsia="zh-CN"/>
              </w:rPr>
              <w:t>贷款</w:t>
            </w:r>
            <w:r>
              <w:rPr>
                <w:rFonts w:hint="eastAsia" w:ascii="宋体" w:hAnsi="宋体" w:cs="宋体"/>
                <w:color w:val="auto"/>
                <w:kern w:val="0"/>
                <w:sz w:val="21"/>
                <w:szCs w:val="21"/>
                <w:highlight w:val="none"/>
              </w:rPr>
              <w:t>率排名评分。</w:t>
            </w:r>
            <w:r>
              <w:rPr>
                <w:rFonts w:hint="eastAsia" w:ascii="宋体" w:hAnsi="宋体" w:cs="宋体"/>
                <w:color w:val="auto"/>
                <w:sz w:val="21"/>
                <w:szCs w:val="21"/>
                <w:highlight w:val="none"/>
              </w:rPr>
              <w:t>排名第一得</w:t>
            </w:r>
            <w:r>
              <w:rPr>
                <w:rFonts w:hint="default" w:ascii="宋体" w:hAnsi="宋体" w:cs="宋体"/>
                <w:color w:val="auto"/>
                <w:sz w:val="21"/>
                <w:szCs w:val="21"/>
                <w:highlight w:val="none"/>
              </w:rPr>
              <w:t>6</w:t>
            </w:r>
            <w:r>
              <w:rPr>
                <w:rFonts w:hint="eastAsia" w:ascii="宋体" w:hAnsi="宋体" w:cs="宋体"/>
                <w:color w:val="auto"/>
                <w:sz w:val="21"/>
                <w:szCs w:val="21"/>
                <w:highlight w:val="none"/>
              </w:rPr>
              <w:t>分</w:t>
            </w:r>
            <w:r>
              <w:rPr>
                <w:rFonts w:hint="eastAsia" w:ascii="宋体" w:hAnsi="宋体" w:cs="宋体"/>
                <w:color w:val="auto"/>
                <w:kern w:val="0"/>
                <w:sz w:val="21"/>
                <w:szCs w:val="21"/>
                <w:highlight w:val="none"/>
              </w:rPr>
              <w:t>，其余投标银行排名每降低一名相应递减0.</w:t>
            </w:r>
            <w:r>
              <w:rPr>
                <w:rFonts w:hint="default" w:ascii="宋体" w:hAnsi="宋体" w:cs="宋体"/>
                <w:color w:val="auto"/>
                <w:kern w:val="0"/>
                <w:sz w:val="21"/>
                <w:szCs w:val="21"/>
                <w:highlight w:val="none"/>
              </w:rPr>
              <w:t>05</w:t>
            </w:r>
            <w:r>
              <w:rPr>
                <w:rFonts w:hint="eastAsia" w:ascii="宋体" w:hAnsi="宋体" w:cs="宋体"/>
                <w:color w:val="auto"/>
                <w:kern w:val="0"/>
                <w:sz w:val="21"/>
                <w:szCs w:val="21"/>
                <w:highlight w:val="none"/>
              </w:rPr>
              <w:t>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083" w:type="dxa"/>
            <w:vMerge w:val="continue"/>
            <w:vAlign w:val="center"/>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1322" w:type="dxa"/>
            <w:vMerge w:val="restart"/>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2.运营状况</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default" w:ascii="宋体" w:hAnsi="宋体" w:cs="宋体"/>
                <w:color w:val="auto"/>
                <w:sz w:val="21"/>
                <w:szCs w:val="21"/>
                <w:highlight w:val="none"/>
              </w:rPr>
              <w:t>6</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z w:val="21"/>
                <w:szCs w:val="21"/>
                <w:highlight w:val="none"/>
              </w:rPr>
            </w:pPr>
            <w:r>
              <w:rPr>
                <w:rFonts w:hint="eastAsia" w:ascii="宋体" w:hAnsi="宋体" w:cs="宋体"/>
                <w:color w:val="auto"/>
                <w:kern w:val="0"/>
                <w:sz w:val="21"/>
                <w:szCs w:val="21"/>
                <w:highlight w:val="none"/>
              </w:rPr>
              <w:t>根据投标银行利润总额排名评分。排名第一得</w:t>
            </w:r>
            <w:r>
              <w:rPr>
                <w:rFonts w:hint="default" w:ascii="宋体" w:hAnsi="宋体" w:cs="宋体"/>
                <w:color w:val="auto"/>
                <w:kern w:val="0"/>
                <w:sz w:val="21"/>
                <w:szCs w:val="21"/>
                <w:highlight w:val="none"/>
              </w:rPr>
              <w:t>6</w:t>
            </w:r>
            <w:r>
              <w:rPr>
                <w:rFonts w:hint="eastAsia" w:ascii="宋体" w:hAnsi="宋体" w:cs="宋体"/>
                <w:color w:val="auto"/>
                <w:kern w:val="0"/>
                <w:sz w:val="21"/>
                <w:szCs w:val="21"/>
                <w:highlight w:val="none"/>
              </w:rPr>
              <w:t>分，其余投标银行排名每降低一名相应递减0.</w:t>
            </w:r>
            <w:r>
              <w:rPr>
                <w:rFonts w:hint="default" w:ascii="宋体" w:hAnsi="宋体" w:cs="宋体"/>
                <w:color w:val="auto"/>
                <w:kern w:val="0"/>
                <w:sz w:val="21"/>
                <w:szCs w:val="21"/>
                <w:highlight w:val="none"/>
              </w:rPr>
              <w:t>05</w:t>
            </w:r>
            <w:r>
              <w:rPr>
                <w:rFonts w:hint="eastAsia" w:ascii="宋体" w:hAnsi="宋体" w:cs="宋体"/>
                <w:color w:val="auto"/>
                <w:kern w:val="0"/>
                <w:sz w:val="21"/>
                <w:szCs w:val="21"/>
                <w:highlight w:val="none"/>
              </w:rPr>
              <w:t>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default" w:ascii="宋体" w:hAnsi="宋体" w:cs="宋体"/>
                <w:color w:val="auto"/>
                <w:sz w:val="21"/>
                <w:szCs w:val="21"/>
                <w:highlight w:val="none"/>
              </w:rPr>
              <w:t>6</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根据投标银行利润增长率排名评分。排名第一得</w:t>
            </w:r>
            <w:r>
              <w:rPr>
                <w:rFonts w:hint="default" w:ascii="宋体" w:hAnsi="宋体" w:cs="宋体"/>
                <w:color w:val="auto"/>
                <w:kern w:val="0"/>
                <w:sz w:val="21"/>
                <w:szCs w:val="21"/>
                <w:highlight w:val="none"/>
              </w:rPr>
              <w:t>6</w:t>
            </w:r>
            <w:r>
              <w:rPr>
                <w:rFonts w:hint="eastAsia" w:ascii="宋体" w:hAnsi="宋体" w:cs="宋体"/>
                <w:color w:val="auto"/>
                <w:kern w:val="0"/>
                <w:sz w:val="21"/>
                <w:szCs w:val="21"/>
                <w:highlight w:val="none"/>
              </w:rPr>
              <w:t>分，其余投标银行排名每降低一名相应递减0.</w:t>
            </w:r>
            <w:r>
              <w:rPr>
                <w:rFonts w:hint="default" w:ascii="宋体" w:hAnsi="宋体" w:cs="宋体"/>
                <w:color w:val="auto"/>
                <w:kern w:val="0"/>
                <w:sz w:val="21"/>
                <w:szCs w:val="21"/>
                <w:highlight w:val="none"/>
              </w:rPr>
              <w:t>05</w:t>
            </w:r>
            <w:r>
              <w:rPr>
                <w:rFonts w:hint="eastAsia" w:ascii="宋体" w:hAnsi="宋体" w:cs="宋体"/>
                <w:color w:val="auto"/>
                <w:kern w:val="0"/>
                <w:sz w:val="21"/>
                <w:szCs w:val="21"/>
                <w:highlight w:val="none"/>
              </w:rPr>
              <w:t>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3.偿付能力</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default" w:ascii="宋体" w:hAnsi="宋体" w:cs="宋体"/>
                <w:color w:val="auto"/>
                <w:sz w:val="21"/>
                <w:szCs w:val="21"/>
                <w:highlight w:val="none"/>
              </w:rPr>
              <w:t>6</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z w:val="21"/>
                <w:szCs w:val="21"/>
                <w:highlight w:val="none"/>
              </w:rPr>
            </w:pPr>
            <w:r>
              <w:rPr>
                <w:rFonts w:hint="eastAsia" w:ascii="宋体" w:hAnsi="宋体" w:cs="宋体"/>
                <w:color w:val="auto"/>
                <w:kern w:val="0"/>
                <w:sz w:val="21"/>
                <w:szCs w:val="21"/>
                <w:highlight w:val="none"/>
              </w:rPr>
              <w:t>根据投标银行拨备覆盖率排名评分。排名第一得</w:t>
            </w:r>
            <w:r>
              <w:rPr>
                <w:rFonts w:hint="default" w:ascii="宋体" w:hAnsi="宋体" w:cs="宋体"/>
                <w:color w:val="auto"/>
                <w:kern w:val="0"/>
                <w:sz w:val="21"/>
                <w:szCs w:val="21"/>
                <w:highlight w:val="none"/>
              </w:rPr>
              <w:t>6</w:t>
            </w:r>
            <w:r>
              <w:rPr>
                <w:rFonts w:hint="eastAsia" w:ascii="宋体" w:hAnsi="宋体" w:cs="宋体"/>
                <w:color w:val="auto"/>
                <w:kern w:val="0"/>
                <w:sz w:val="21"/>
                <w:szCs w:val="21"/>
                <w:highlight w:val="none"/>
              </w:rPr>
              <w:t>分，其余投标银行排名每降低一名相应递减0.</w:t>
            </w:r>
            <w:r>
              <w:rPr>
                <w:rFonts w:hint="default" w:ascii="宋体" w:hAnsi="宋体" w:cs="宋体"/>
                <w:color w:val="auto"/>
                <w:kern w:val="0"/>
                <w:sz w:val="21"/>
                <w:szCs w:val="21"/>
                <w:highlight w:val="none"/>
              </w:rPr>
              <w:t>05</w:t>
            </w:r>
            <w:r>
              <w:rPr>
                <w:rFonts w:hint="eastAsia" w:ascii="宋体" w:hAnsi="宋体" w:cs="宋体"/>
                <w:color w:val="auto"/>
                <w:kern w:val="0"/>
                <w:sz w:val="21"/>
                <w:szCs w:val="21"/>
                <w:highlight w:val="none"/>
              </w:rPr>
              <w:t>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4.内控水平</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default" w:ascii="宋体" w:hAnsi="宋体" w:cs="宋体"/>
                <w:color w:val="auto"/>
                <w:sz w:val="21"/>
                <w:szCs w:val="21"/>
                <w:highlight w:val="none"/>
              </w:rPr>
              <w:t>6</w:t>
            </w:r>
          </w:p>
        </w:tc>
        <w:tc>
          <w:tcPr>
            <w:tcW w:w="7034" w:type="dxa"/>
            <w:vAlign w:val="center"/>
          </w:tcPr>
          <w:p>
            <w:pPr>
              <w:keepNext w:val="0"/>
              <w:keepLines w:val="0"/>
              <w:suppressLineNumbers w:val="0"/>
              <w:spacing w:before="0" w:beforeAutospacing="0" w:after="0" w:afterAutospacing="0"/>
              <w:ind w:left="0" w:right="0"/>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w:t>
            </w:r>
            <w:r>
              <w:rPr>
                <w:rFonts w:hint="eastAsia" w:ascii="宋体" w:hAnsi="宋体" w:cs="宋体"/>
                <w:color w:val="auto"/>
                <w:kern w:val="0"/>
                <w:sz w:val="21"/>
                <w:szCs w:val="21"/>
                <w:highlight w:val="none"/>
                <w:lang w:val="en-US" w:eastAsia="zh-CN"/>
              </w:rPr>
              <w:t>央行金融机构评级</w:t>
            </w:r>
            <w:r>
              <w:rPr>
                <w:rFonts w:hint="eastAsia" w:ascii="宋体" w:hAnsi="宋体" w:cs="宋体"/>
                <w:color w:val="auto"/>
                <w:kern w:val="0"/>
                <w:sz w:val="21"/>
                <w:szCs w:val="21"/>
                <w:highlight w:val="none"/>
              </w:rPr>
              <w:t>排名评分。</w:t>
            </w:r>
            <w:r>
              <w:rPr>
                <w:rFonts w:hint="eastAsia" w:ascii="宋体" w:hAnsi="宋体" w:cs="宋体"/>
                <w:color w:val="auto"/>
                <w:kern w:val="0"/>
                <w:sz w:val="21"/>
                <w:szCs w:val="21"/>
                <w:highlight w:val="none"/>
                <w:lang w:val="en-US" w:eastAsia="zh-CN"/>
              </w:rPr>
              <w:t>排名第1名得6分，第2名得5.95分，第3名得5.9分，第4名得5.85分，第5名得5.8分，第6名得5.75分，第7名得5.7分。</w:t>
            </w:r>
            <w:r>
              <w:rPr>
                <w:rFonts w:hint="eastAsia" w:ascii="宋体" w:hAnsi="宋体" w:cs="宋体"/>
                <w:color w:val="auto"/>
                <w:kern w:val="0"/>
                <w:sz w:val="21"/>
                <w:szCs w:val="21"/>
                <w:highlight w:val="none"/>
              </w:rPr>
              <w:t>（由浙江省财政厅提供数据）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83" w:type="dxa"/>
            <w:vMerge w:val="restart"/>
            <w:vAlign w:val="center"/>
          </w:tcPr>
          <w:p>
            <w:pPr>
              <w:keepNext w:val="0"/>
              <w:keepLines w:val="0"/>
              <w:suppressLineNumbers w:val="0"/>
              <w:spacing w:before="0" w:beforeAutospacing="0" w:after="0" w:afterAutospacing="0"/>
              <w:ind w:left="0" w:right="0"/>
              <w:jc w:val="center"/>
              <w:rPr>
                <w:rFonts w:hint="default" w:ascii="宋体" w:hAnsi="宋体" w:cs="宋体"/>
                <w:b/>
                <w:bCs/>
                <w:color w:val="auto"/>
                <w:sz w:val="21"/>
                <w:szCs w:val="21"/>
                <w:highlight w:val="none"/>
              </w:rPr>
            </w:pPr>
            <w:r>
              <w:rPr>
                <w:rFonts w:hint="eastAsia" w:ascii="宋体" w:hAnsi="宋体" w:cs="宋体"/>
                <w:b/>
                <w:color w:val="auto"/>
                <w:sz w:val="21"/>
                <w:szCs w:val="21"/>
                <w:highlight w:val="none"/>
              </w:rPr>
              <w:t>经济贡献度指标（30分）</w:t>
            </w:r>
          </w:p>
        </w:tc>
        <w:tc>
          <w:tcPr>
            <w:tcW w:w="1322"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1.支持地方经济社会发展情况</w:t>
            </w: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color w:val="auto"/>
                <w:kern w:val="0"/>
                <w:sz w:val="21"/>
                <w:szCs w:val="21"/>
                <w:highlight w:val="none"/>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根据投标银行浙江省政府金融机构支持地方经济社会发展评价结果进行评分（一等奖、二等奖、三等奖、未得奖）。一等奖得</w:t>
            </w:r>
            <w:r>
              <w:rPr>
                <w:rFonts w:hint="default" w:ascii="宋体" w:hAnsi="宋体" w:cs="宋体"/>
                <w:color w:val="auto"/>
                <w:kern w:val="0"/>
                <w:sz w:val="21"/>
                <w:szCs w:val="21"/>
                <w:highlight w:val="none"/>
              </w:rPr>
              <w:t>3</w:t>
            </w:r>
            <w:r>
              <w:rPr>
                <w:rFonts w:hint="eastAsia" w:ascii="宋体" w:hAnsi="宋体" w:cs="宋体"/>
                <w:color w:val="auto"/>
                <w:kern w:val="0"/>
                <w:sz w:val="21"/>
                <w:szCs w:val="21"/>
                <w:highlight w:val="none"/>
              </w:rPr>
              <w:t>分，二等奖</w:t>
            </w:r>
            <w:r>
              <w:rPr>
                <w:rFonts w:hint="default" w:ascii="宋体" w:hAnsi="宋体" w:cs="宋体"/>
                <w:color w:val="auto"/>
                <w:kern w:val="0"/>
                <w:sz w:val="21"/>
                <w:szCs w:val="21"/>
                <w:highlight w:val="none"/>
              </w:rPr>
              <w:t>2</w:t>
            </w:r>
            <w:r>
              <w:rPr>
                <w:rFonts w:hint="eastAsia" w:ascii="宋体" w:hAnsi="宋体" w:cs="宋体"/>
                <w:color w:val="auto"/>
                <w:kern w:val="0"/>
                <w:sz w:val="21"/>
                <w:szCs w:val="21"/>
                <w:highlight w:val="none"/>
              </w:rPr>
              <w:t>分，三等奖1分，未得奖0分。（由浙江省财政厅提供数据）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restart"/>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2.支持制造业情况</w:t>
            </w: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color w:val="auto"/>
                <w:kern w:val="0"/>
                <w:sz w:val="21"/>
                <w:szCs w:val="21"/>
                <w:highlight w:val="none"/>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根据投标银行制造业贷款余额排名进行评分。排名第一得</w:t>
            </w:r>
            <w:r>
              <w:rPr>
                <w:rFonts w:hint="default" w:ascii="宋体" w:hAnsi="宋体" w:cs="宋体"/>
                <w:color w:val="auto"/>
                <w:kern w:val="0"/>
                <w:sz w:val="21"/>
                <w:szCs w:val="21"/>
                <w:highlight w:val="none"/>
              </w:rPr>
              <w:t>3</w:t>
            </w:r>
            <w:r>
              <w:rPr>
                <w:rFonts w:hint="eastAsia" w:ascii="宋体" w:hAnsi="宋体" w:cs="宋体"/>
                <w:color w:val="auto"/>
                <w:kern w:val="0"/>
                <w:sz w:val="21"/>
                <w:szCs w:val="21"/>
                <w:highlight w:val="none"/>
              </w:rPr>
              <w:t>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根据投标银行制造业贷款余额占各项贷款余额比例增长情况排名进行评分。排名第一得2分，其余投标银行排名每降低一名相应递减0.02分，减完为止。（由浙江省财政厅提供数据）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restart"/>
            <w:vAlign w:val="center"/>
          </w:tcPr>
          <w:p>
            <w:pPr>
              <w:keepNext w:val="0"/>
              <w:keepLines w:val="0"/>
              <w:suppressLineNumbers w:val="0"/>
              <w:spacing w:before="0" w:beforeAutospacing="0" w:after="0" w:afterAutospacing="0"/>
              <w:ind w:left="0" w:right="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3.助力“共同富裕”建设情况</w:t>
            </w: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color w:val="auto"/>
                <w:kern w:val="0"/>
                <w:sz w:val="21"/>
                <w:szCs w:val="21"/>
                <w:highlight w:val="none"/>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w:t>
            </w:r>
            <w:r>
              <w:rPr>
                <w:rFonts w:hint="eastAsia" w:ascii="宋体" w:hAnsi="宋体" w:cs="宋体"/>
                <w:color w:val="auto"/>
                <w:kern w:val="0"/>
                <w:sz w:val="21"/>
                <w:szCs w:val="21"/>
                <w:highlight w:val="none"/>
                <w:lang w:val="en-US" w:eastAsia="zh-CN"/>
              </w:rPr>
              <w:t>普惠</w:t>
            </w:r>
            <w:r>
              <w:rPr>
                <w:rFonts w:hint="eastAsia" w:ascii="宋体" w:hAnsi="宋体" w:cs="宋体"/>
                <w:color w:val="auto"/>
                <w:kern w:val="0"/>
                <w:sz w:val="21"/>
                <w:szCs w:val="21"/>
                <w:highlight w:val="none"/>
              </w:rPr>
              <w:t>小微企业贷款余额排名进行评分。排名第一得</w:t>
            </w:r>
            <w:r>
              <w:rPr>
                <w:rFonts w:hint="default" w:ascii="宋体" w:hAnsi="宋体" w:cs="宋体"/>
                <w:color w:val="auto"/>
                <w:kern w:val="0"/>
                <w:sz w:val="21"/>
                <w:szCs w:val="21"/>
                <w:highlight w:val="none"/>
              </w:rPr>
              <w:t>3</w:t>
            </w:r>
            <w:r>
              <w:rPr>
                <w:rFonts w:hint="eastAsia" w:ascii="宋体" w:hAnsi="宋体" w:cs="宋体"/>
                <w:color w:val="auto"/>
                <w:kern w:val="0"/>
                <w:sz w:val="21"/>
                <w:szCs w:val="21"/>
                <w:highlight w:val="none"/>
              </w:rPr>
              <w:t>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w:t>
            </w:r>
            <w:r>
              <w:rPr>
                <w:rFonts w:hint="eastAsia" w:ascii="宋体" w:hAnsi="宋体" w:cs="宋体"/>
                <w:color w:val="auto"/>
                <w:kern w:val="0"/>
                <w:sz w:val="21"/>
                <w:szCs w:val="21"/>
                <w:highlight w:val="none"/>
                <w:lang w:val="en-US" w:eastAsia="zh-CN"/>
              </w:rPr>
              <w:t>普惠</w:t>
            </w:r>
            <w:r>
              <w:rPr>
                <w:rFonts w:hint="eastAsia" w:ascii="宋体" w:hAnsi="宋体" w:cs="宋体"/>
                <w:color w:val="auto"/>
                <w:kern w:val="0"/>
                <w:sz w:val="21"/>
                <w:szCs w:val="21"/>
                <w:highlight w:val="none"/>
              </w:rPr>
              <w:t>小微企业贷款余额占各项贷款余额比例增长情况排名进行评分。排名第一得2分，其余投标银行排名每降低一名相应递减0.02分，减完为止。（由浙江省财政厅提供数据）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color w:val="auto"/>
                <w:kern w:val="0"/>
                <w:sz w:val="21"/>
                <w:szCs w:val="21"/>
                <w:highlight w:val="none"/>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根据投标银行涉农贷款余额排名进行评分。排名第一得</w:t>
            </w:r>
            <w:r>
              <w:rPr>
                <w:rFonts w:hint="default" w:ascii="宋体" w:hAnsi="宋体" w:cs="宋体"/>
                <w:color w:val="auto"/>
                <w:kern w:val="0"/>
                <w:sz w:val="21"/>
                <w:szCs w:val="21"/>
                <w:highlight w:val="none"/>
              </w:rPr>
              <w:t>3</w:t>
            </w:r>
            <w:r>
              <w:rPr>
                <w:rFonts w:hint="eastAsia" w:ascii="宋体" w:hAnsi="宋体" w:cs="宋体"/>
                <w:color w:val="auto"/>
                <w:kern w:val="0"/>
                <w:sz w:val="21"/>
                <w:szCs w:val="21"/>
                <w:highlight w:val="none"/>
              </w:rPr>
              <w:t>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根据投标银行涉农贷款余额占各项贷款余额比例增长情况排名进行评分。排名第一得2分，其余投标银行排名每降低一名相应递减0.02分，减完为止。（由浙江省财政厅提供数据）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color w:val="auto"/>
                <w:kern w:val="0"/>
                <w:sz w:val="21"/>
                <w:szCs w:val="21"/>
                <w:highlight w:val="none"/>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w:t>
            </w:r>
            <w:r>
              <w:rPr>
                <w:rFonts w:hint="eastAsia" w:ascii="宋体" w:hAnsi="宋体" w:cs="宋体"/>
                <w:color w:val="auto"/>
                <w:kern w:val="0"/>
                <w:sz w:val="21"/>
                <w:szCs w:val="21"/>
                <w:highlight w:val="none"/>
                <w:lang w:val="en-US" w:eastAsia="zh-CN"/>
              </w:rPr>
              <w:t>民营企业贷款余额</w:t>
            </w:r>
            <w:r>
              <w:rPr>
                <w:rFonts w:hint="eastAsia" w:ascii="宋体" w:hAnsi="宋体" w:cs="宋体"/>
                <w:color w:val="auto"/>
                <w:kern w:val="0"/>
                <w:sz w:val="21"/>
                <w:szCs w:val="21"/>
                <w:highlight w:val="none"/>
              </w:rPr>
              <w:t>排名进行评分。排名第一得</w:t>
            </w:r>
            <w:r>
              <w:rPr>
                <w:rFonts w:hint="default" w:ascii="宋体" w:hAnsi="宋体" w:cs="宋体"/>
                <w:color w:val="auto"/>
                <w:kern w:val="0"/>
                <w:sz w:val="21"/>
                <w:szCs w:val="21"/>
                <w:highlight w:val="none"/>
              </w:rPr>
              <w:t>3</w:t>
            </w:r>
            <w:r>
              <w:rPr>
                <w:rFonts w:hint="eastAsia" w:ascii="宋体" w:hAnsi="宋体" w:cs="宋体"/>
                <w:color w:val="auto"/>
                <w:kern w:val="0"/>
                <w:sz w:val="21"/>
                <w:szCs w:val="21"/>
                <w:highlight w:val="none"/>
              </w:rPr>
              <w:t>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w:t>
            </w:r>
            <w:r>
              <w:rPr>
                <w:rFonts w:hint="eastAsia" w:ascii="宋体" w:hAnsi="宋体" w:cs="宋体"/>
                <w:color w:val="auto"/>
                <w:kern w:val="0"/>
                <w:sz w:val="21"/>
                <w:szCs w:val="21"/>
                <w:highlight w:val="none"/>
                <w:lang w:val="en-US" w:eastAsia="zh-CN"/>
              </w:rPr>
              <w:t>民营企业贷款余额占各项贷款余额比例增长情况</w:t>
            </w:r>
            <w:r>
              <w:rPr>
                <w:rFonts w:hint="eastAsia" w:ascii="宋体" w:hAnsi="宋体" w:cs="宋体"/>
                <w:color w:val="auto"/>
                <w:kern w:val="0"/>
                <w:sz w:val="21"/>
                <w:szCs w:val="21"/>
                <w:highlight w:val="none"/>
              </w:rPr>
              <w:t>排名进行评分。排名第一得2分，其余投标银行排名每降低一名相应递减0.02分，减完为止。（由浙江省财政厅提供数据）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restart"/>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lang w:val="en-US" w:eastAsia="zh-CN"/>
              </w:rPr>
              <w:t>4</w:t>
            </w:r>
            <w:r>
              <w:rPr>
                <w:rFonts w:hint="eastAsia" w:ascii="宋体" w:hAnsi="宋体" w:cs="宋体"/>
                <w:color w:val="auto"/>
                <w:kern w:val="0"/>
                <w:sz w:val="21"/>
                <w:szCs w:val="21"/>
                <w:highlight w:val="none"/>
              </w:rPr>
              <w:t>.纳税情况</w:t>
            </w: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根据投标银行纳税总额排名进行评分。排名第一得3分，其余投标银行排名每降低一名相应递减0.02分，减完为止。（由浙江省财政厅提供数据）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color w:val="auto"/>
                <w:kern w:val="0"/>
                <w:sz w:val="21"/>
                <w:szCs w:val="21"/>
                <w:highlight w:val="none"/>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根据投标银行税收增长率排名进行评分。排名第一得</w:t>
            </w:r>
            <w:r>
              <w:rPr>
                <w:rFonts w:hint="default" w:ascii="宋体" w:hAnsi="宋体" w:cs="宋体"/>
                <w:color w:val="auto"/>
                <w:kern w:val="0"/>
                <w:sz w:val="21"/>
                <w:szCs w:val="21"/>
                <w:highlight w:val="none"/>
              </w:rPr>
              <w:t>2</w:t>
            </w:r>
            <w:r>
              <w:rPr>
                <w:rFonts w:hint="eastAsia" w:ascii="宋体" w:hAnsi="宋体" w:cs="宋体"/>
                <w:color w:val="auto"/>
                <w:kern w:val="0"/>
                <w:sz w:val="21"/>
                <w:szCs w:val="21"/>
                <w:highlight w:val="none"/>
              </w:rPr>
              <w:t>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lang w:val="en-US" w:eastAsia="zh-CN"/>
              </w:rPr>
              <w:t>5</w:t>
            </w:r>
            <w:r>
              <w:rPr>
                <w:rFonts w:hint="eastAsia" w:ascii="宋体" w:hAnsi="宋体" w:cs="宋体"/>
                <w:color w:val="auto"/>
                <w:kern w:val="0"/>
                <w:sz w:val="21"/>
                <w:szCs w:val="21"/>
                <w:highlight w:val="none"/>
              </w:rPr>
              <w:t>.支持浙江省公益性事业发展情况</w:t>
            </w: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color w:val="auto"/>
                <w:kern w:val="0"/>
                <w:sz w:val="21"/>
                <w:szCs w:val="21"/>
                <w:highlight w:val="none"/>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根据投标银行支持浙江省公益性事业发展债务融资承销额排名（含承办柜台发行量）进行评分。排名第一得</w:t>
            </w:r>
            <w:r>
              <w:rPr>
                <w:rFonts w:hint="default" w:ascii="宋体" w:hAnsi="宋体" w:cs="宋体"/>
                <w:color w:val="auto"/>
                <w:kern w:val="0"/>
                <w:sz w:val="21"/>
                <w:szCs w:val="21"/>
                <w:highlight w:val="none"/>
              </w:rPr>
              <w:t>2</w:t>
            </w:r>
            <w:r>
              <w:rPr>
                <w:rFonts w:hint="eastAsia" w:ascii="宋体" w:hAnsi="宋体" w:cs="宋体"/>
                <w:color w:val="auto"/>
                <w:kern w:val="0"/>
                <w:sz w:val="21"/>
                <w:szCs w:val="21"/>
                <w:highlight w:val="none"/>
              </w:rPr>
              <w:t>分，其余投标银行排名每降低一名相应递减0.02分，减完为止。（由浙江省财政厅提供数据）</w:t>
            </w:r>
          </w:p>
        </w:tc>
      </w:tr>
    </w:tbl>
    <w:p>
      <w:pPr>
        <w:spacing w:line="360" w:lineRule="auto"/>
        <w:jc w:val="center"/>
        <w:outlineLvl w:val="0"/>
        <w:rPr>
          <w:rFonts w:ascii="宋体" w:hAnsi="宋体"/>
          <w:b/>
          <w:sz w:val="21"/>
          <w:szCs w:val="21"/>
          <w:highlight w:val="none"/>
        </w:rPr>
      </w:pPr>
      <w:r>
        <w:rPr>
          <w:rFonts w:ascii="宋体" w:hAnsi="宋体"/>
          <w:b/>
          <w:bCs/>
          <w:spacing w:val="-6"/>
          <w:sz w:val="32"/>
          <w:szCs w:val="32"/>
          <w:highlight w:val="none"/>
        </w:rPr>
        <w:br w:type="page"/>
      </w:r>
      <w:r>
        <w:rPr>
          <w:rFonts w:hint="eastAsia" w:ascii="宋体" w:hAnsi="宋体"/>
          <w:b/>
          <w:bCs/>
          <w:spacing w:val="-6"/>
          <w:sz w:val="32"/>
          <w:szCs w:val="32"/>
          <w:highlight w:val="none"/>
        </w:rPr>
        <w:t>第五章  拟签订的协议文本</w:t>
      </w:r>
    </w:p>
    <w:p>
      <w:pPr>
        <w:spacing w:line="360" w:lineRule="auto"/>
        <w:jc w:val="center"/>
        <w:rPr>
          <w:rFonts w:ascii="宋体" w:hAnsi="宋体"/>
          <w:b/>
          <w:sz w:val="24"/>
          <w:highlight w:val="none"/>
        </w:rPr>
      </w:pPr>
      <w:r>
        <w:rPr>
          <w:rFonts w:hint="eastAsia" w:ascii="宋体" w:hAnsi="宋体"/>
          <w:b/>
          <w:sz w:val="24"/>
          <w:highlight w:val="none"/>
          <w:lang w:eastAsia="zh-CN"/>
        </w:rPr>
        <w:t>浙江金融职业学院2023年第一期公款竞争性存放</w:t>
      </w:r>
      <w:r>
        <w:rPr>
          <w:rFonts w:hint="eastAsia" w:ascii="宋体" w:hAnsi="宋体"/>
          <w:b/>
          <w:sz w:val="24"/>
          <w:highlight w:val="none"/>
        </w:rPr>
        <w:t>协议书</w:t>
      </w:r>
    </w:p>
    <w:p>
      <w:pPr>
        <w:spacing w:line="360" w:lineRule="auto"/>
        <w:ind w:firstLine="495"/>
        <w:rPr>
          <w:rFonts w:hint="eastAsia" w:ascii="宋体" w:hAnsi="宋体" w:eastAsia="宋体"/>
          <w:color w:val="auto"/>
          <w:spacing w:val="-6"/>
          <w:sz w:val="21"/>
          <w:szCs w:val="21"/>
          <w:highlight w:val="none"/>
          <w:lang w:eastAsia="zh-CN"/>
        </w:rPr>
      </w:pPr>
      <w:r>
        <w:rPr>
          <w:rFonts w:hint="eastAsia" w:ascii="宋体" w:hAnsi="宋体"/>
          <w:color w:val="auto"/>
          <w:spacing w:val="-6"/>
          <w:sz w:val="21"/>
          <w:szCs w:val="21"/>
          <w:highlight w:val="none"/>
        </w:rPr>
        <w:t>甲方：</w:t>
      </w:r>
      <w:r>
        <w:rPr>
          <w:rFonts w:hint="eastAsia" w:ascii="宋体" w:hAnsi="宋体"/>
          <w:color w:val="auto"/>
          <w:spacing w:val="-6"/>
          <w:sz w:val="21"/>
          <w:szCs w:val="21"/>
          <w:highlight w:val="none"/>
          <w:lang w:eastAsia="zh-CN"/>
        </w:rPr>
        <w:t>浙江金融职业学院</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乙方：</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经招标代理机构“浙江求是招标代理有限公司”通过公款竞争性存放方式（招标项目编号：</w:t>
      </w:r>
      <w:r>
        <w:rPr>
          <w:rFonts w:hint="eastAsia" w:ascii="宋体" w:hAnsi="宋体"/>
          <w:color w:val="auto"/>
          <w:spacing w:val="-6"/>
          <w:sz w:val="21"/>
          <w:szCs w:val="21"/>
          <w:highlight w:val="none"/>
          <w:lang w:eastAsia="zh-CN"/>
        </w:rPr>
        <w:t>QSZB-F(F)-B23138(GK)</w:t>
      </w:r>
      <w:r>
        <w:rPr>
          <w:rFonts w:hint="eastAsia" w:ascii="宋体" w:hAnsi="宋体"/>
          <w:color w:val="auto"/>
          <w:spacing w:val="-6"/>
          <w:sz w:val="21"/>
          <w:szCs w:val="21"/>
          <w:highlight w:val="none"/>
        </w:rPr>
        <w:t>），确定</w:t>
      </w:r>
      <w:r>
        <w:rPr>
          <w:rFonts w:hint="eastAsia" w:ascii="宋体" w:hAnsi="宋体"/>
          <w:color w:val="auto"/>
          <w:spacing w:val="-6"/>
          <w:sz w:val="21"/>
          <w:szCs w:val="21"/>
          <w:highlight w:val="none"/>
          <w:u w:val="single"/>
        </w:rPr>
        <w:t xml:space="preserve">                 为</w:t>
      </w:r>
      <w:r>
        <w:rPr>
          <w:rFonts w:hint="eastAsia" w:ascii="宋体" w:hAnsi="宋体"/>
          <w:color w:val="auto"/>
          <w:spacing w:val="-6"/>
          <w:sz w:val="21"/>
          <w:szCs w:val="21"/>
          <w:highlight w:val="none"/>
        </w:rPr>
        <w:t>中标银行，甲、乙双方友好协商，达成以下条款：</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一、总则</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第一条 根据相关法律法规和</w:t>
      </w:r>
      <w:r>
        <w:rPr>
          <w:rFonts w:hint="eastAsia" w:ascii="宋体" w:hAnsi="宋体"/>
          <w:color w:val="auto"/>
          <w:spacing w:val="-6"/>
          <w:sz w:val="21"/>
          <w:szCs w:val="21"/>
          <w:highlight w:val="none"/>
          <w:lang w:eastAsia="zh-CN"/>
        </w:rPr>
        <w:t>浙江金融职业学院</w:t>
      </w:r>
      <w:r>
        <w:rPr>
          <w:rFonts w:hint="eastAsia" w:ascii="宋体" w:hAnsi="宋体"/>
          <w:color w:val="auto"/>
          <w:spacing w:val="-6"/>
          <w:sz w:val="21"/>
          <w:szCs w:val="21"/>
          <w:highlight w:val="none"/>
        </w:rPr>
        <w:t>关于公款存放等相关规定，经甲、乙双方平等协商，签订本协议。</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 xml:space="preserve">第二条 </w:t>
      </w:r>
      <w:r>
        <w:rPr>
          <w:rFonts w:hint="eastAsia" w:ascii="宋体" w:hAnsi="宋体"/>
          <w:color w:val="auto"/>
          <w:spacing w:val="-6"/>
          <w:sz w:val="21"/>
          <w:szCs w:val="21"/>
          <w:highlight w:val="none"/>
          <w:lang w:eastAsia="zh-CN"/>
        </w:rPr>
        <w:t>浙江金融职业学院</w:t>
      </w:r>
      <w:r>
        <w:rPr>
          <w:rFonts w:hint="eastAsia" w:ascii="宋体" w:hAnsi="宋体"/>
          <w:color w:val="auto"/>
          <w:spacing w:val="-6"/>
          <w:sz w:val="21"/>
          <w:szCs w:val="21"/>
          <w:highlight w:val="none"/>
        </w:rPr>
        <w:t>通过公开</w:t>
      </w:r>
      <w:r>
        <w:rPr>
          <w:rFonts w:ascii="宋体" w:hAnsi="宋体"/>
          <w:color w:val="auto"/>
          <w:spacing w:val="-6"/>
          <w:sz w:val="21"/>
          <w:szCs w:val="21"/>
          <w:highlight w:val="none"/>
        </w:rPr>
        <w:t>招标</w:t>
      </w:r>
      <w:r>
        <w:rPr>
          <w:rFonts w:hint="eastAsia" w:ascii="宋体" w:hAnsi="宋体"/>
          <w:color w:val="auto"/>
          <w:spacing w:val="-6"/>
          <w:sz w:val="21"/>
          <w:szCs w:val="21"/>
          <w:highlight w:val="none"/>
        </w:rPr>
        <w:t>方式择优确定</w:t>
      </w:r>
      <w:r>
        <w:rPr>
          <w:rFonts w:hint="eastAsia" w:ascii="宋体" w:hAnsi="宋体"/>
          <w:color w:val="auto"/>
          <w:spacing w:val="-6"/>
          <w:sz w:val="21"/>
          <w:szCs w:val="21"/>
          <w:highlight w:val="none"/>
          <w:lang w:eastAsia="zh-CN"/>
        </w:rPr>
        <w:t>浙江金融职业学院</w:t>
      </w:r>
      <w:r>
        <w:rPr>
          <w:rFonts w:hint="eastAsia" w:ascii="宋体" w:hAnsi="宋体"/>
          <w:color w:val="auto"/>
          <w:spacing w:val="-6"/>
          <w:sz w:val="21"/>
          <w:szCs w:val="21"/>
          <w:highlight w:val="none"/>
        </w:rPr>
        <w:t>公款存放的定期存款银行，其定期存款有关的资金管理、本息收回等活动适用本协议。</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第三条 经招投标确定，甲方在乙方开立定期存款账户，存入202</w:t>
      </w:r>
      <w:r>
        <w:rPr>
          <w:rFonts w:hint="eastAsia" w:ascii="宋体" w:hAnsi="宋体"/>
          <w:color w:val="auto"/>
          <w:spacing w:val="-6"/>
          <w:sz w:val="21"/>
          <w:szCs w:val="21"/>
          <w:highlight w:val="none"/>
          <w:lang w:val="en-US" w:eastAsia="zh-CN"/>
        </w:rPr>
        <w:t>3</w:t>
      </w:r>
      <w:r>
        <w:rPr>
          <w:rFonts w:hint="eastAsia" w:ascii="宋体" w:hAnsi="宋体"/>
          <w:color w:val="auto"/>
          <w:spacing w:val="-6"/>
          <w:sz w:val="21"/>
          <w:szCs w:val="21"/>
          <w:highlight w:val="none"/>
        </w:rPr>
        <w:t>年第一期存款</w:t>
      </w:r>
      <w:r>
        <w:rPr>
          <w:rFonts w:hint="eastAsia" w:ascii="宋体" w:hAnsi="宋体"/>
          <w:color w:val="auto"/>
          <w:spacing w:val="-6"/>
          <w:sz w:val="21"/>
          <w:szCs w:val="21"/>
          <w:highlight w:val="none"/>
          <w:u w:val="single"/>
        </w:rPr>
        <w:t xml:space="preserve">       万</w:t>
      </w:r>
      <w:r>
        <w:rPr>
          <w:rFonts w:hint="eastAsia" w:ascii="宋体" w:hAnsi="宋体"/>
          <w:color w:val="auto"/>
          <w:spacing w:val="-6"/>
          <w:sz w:val="21"/>
          <w:szCs w:val="21"/>
          <w:highlight w:val="none"/>
        </w:rPr>
        <w:t>元，定期存款年利率</w:t>
      </w:r>
      <w:r>
        <w:rPr>
          <w:rFonts w:hint="eastAsia" w:ascii="宋体" w:hAnsi="宋体"/>
          <w:color w:val="auto"/>
          <w:spacing w:val="-6"/>
          <w:sz w:val="21"/>
          <w:szCs w:val="21"/>
          <w:highlight w:val="none"/>
          <w:u w:val="single"/>
        </w:rPr>
        <w:t xml:space="preserve">               </w:t>
      </w:r>
      <w:r>
        <w:rPr>
          <w:rFonts w:hint="eastAsia" w:ascii="宋体" w:hAnsi="宋体"/>
          <w:color w:val="auto"/>
          <w:spacing w:val="-6"/>
          <w:sz w:val="21"/>
          <w:szCs w:val="21"/>
          <w:highlight w:val="none"/>
        </w:rPr>
        <w:t>%。甲、乙双方协商指定办理定期存款的分支机构为：</w:t>
      </w:r>
      <w:r>
        <w:rPr>
          <w:rFonts w:hint="eastAsia" w:ascii="宋体" w:hAnsi="宋体"/>
          <w:color w:val="auto"/>
          <w:spacing w:val="-6"/>
          <w:sz w:val="21"/>
          <w:szCs w:val="21"/>
          <w:highlight w:val="none"/>
          <w:u w:val="single"/>
        </w:rPr>
        <w:t xml:space="preserve">                        </w:t>
      </w:r>
      <w:r>
        <w:rPr>
          <w:rFonts w:hint="eastAsia" w:ascii="宋体" w:hAnsi="宋体"/>
          <w:color w:val="auto"/>
          <w:spacing w:val="-6"/>
          <w:sz w:val="21"/>
          <w:szCs w:val="21"/>
          <w:highlight w:val="none"/>
        </w:rPr>
        <w:t>。</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第四条 定期存入时间由甲方按中标银行排序依次通知，甲方于存入日前至少提前2个工作日通知乙方办理定期存款相关事项。</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二、甲方权利与义务</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（一）甲方权利主要包括：</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1.组织开展</w:t>
      </w:r>
      <w:r>
        <w:rPr>
          <w:rFonts w:hint="eastAsia" w:ascii="宋体" w:hAnsi="宋体"/>
          <w:color w:val="auto"/>
          <w:spacing w:val="-6"/>
          <w:sz w:val="21"/>
          <w:szCs w:val="21"/>
          <w:highlight w:val="none"/>
          <w:lang w:eastAsia="zh-CN"/>
        </w:rPr>
        <w:t>浙江金融职业学院</w:t>
      </w:r>
      <w:r>
        <w:rPr>
          <w:rFonts w:hint="eastAsia" w:ascii="宋体" w:hAnsi="宋体"/>
          <w:color w:val="auto"/>
          <w:spacing w:val="-6"/>
          <w:sz w:val="21"/>
          <w:szCs w:val="21"/>
          <w:highlight w:val="none"/>
        </w:rPr>
        <w:t>公款存放工作；</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2.要求乙方提供存款证明；</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3.对乙方</w:t>
      </w:r>
      <w:r>
        <w:rPr>
          <w:rFonts w:hint="eastAsia" w:ascii="宋体" w:hAnsi="宋体"/>
          <w:color w:val="auto"/>
          <w:spacing w:val="-6"/>
          <w:sz w:val="21"/>
          <w:szCs w:val="21"/>
          <w:highlight w:val="none"/>
          <w:lang w:eastAsia="zh-CN"/>
        </w:rPr>
        <w:t>浙江金融职业学院</w:t>
      </w:r>
      <w:r>
        <w:rPr>
          <w:rFonts w:hint="eastAsia" w:ascii="宋体" w:hAnsi="宋体"/>
          <w:color w:val="auto"/>
          <w:spacing w:val="-6"/>
          <w:sz w:val="21"/>
          <w:szCs w:val="21"/>
          <w:highlight w:val="none"/>
        </w:rPr>
        <w:t>定期存款业务实施监督管理。</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（二）甲方义务主要包括：</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按规定签发划拨定期存款资金的指令。</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三、乙方权利与义务</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（一）乙方权利主要包括：</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1.参与甲方组织的</w:t>
      </w:r>
      <w:r>
        <w:rPr>
          <w:rFonts w:hint="eastAsia" w:ascii="宋体" w:hAnsi="宋体"/>
          <w:color w:val="auto"/>
          <w:spacing w:val="-6"/>
          <w:sz w:val="21"/>
          <w:szCs w:val="21"/>
          <w:highlight w:val="none"/>
          <w:lang w:eastAsia="zh-CN"/>
        </w:rPr>
        <w:t>浙江金融职业学院</w:t>
      </w:r>
      <w:r>
        <w:rPr>
          <w:rFonts w:hint="eastAsia" w:ascii="宋体" w:hAnsi="宋体"/>
          <w:color w:val="auto"/>
          <w:spacing w:val="-6"/>
          <w:sz w:val="21"/>
          <w:szCs w:val="21"/>
          <w:highlight w:val="none"/>
        </w:rPr>
        <w:t>公款存放工作；</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2.按规定金额存放甲方定期存款。</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（二）乙方义务主要包括：</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1.按规定办理甲方定期存款存放手续；</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2.向甲方提供存款证明；</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3.存款到期及时足额缴清甲方存款本息；</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4.确保甲方定期存款存续期间的资金安全；</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5.接受甲方对定期存款业务的监督管理；</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6.乙方应确定固定部门及经办人员负责甲方公款存放业务，并向</w:t>
      </w:r>
      <w:r>
        <w:rPr>
          <w:rFonts w:hint="eastAsia" w:ascii="宋体" w:hAnsi="宋体"/>
          <w:color w:val="auto"/>
          <w:spacing w:val="-6"/>
          <w:sz w:val="21"/>
          <w:szCs w:val="21"/>
          <w:highlight w:val="none"/>
          <w:lang w:eastAsia="zh-CN"/>
        </w:rPr>
        <w:t>浙江金融职业学院</w:t>
      </w:r>
      <w:r>
        <w:rPr>
          <w:rFonts w:hint="eastAsia" w:ascii="宋体" w:hAnsi="宋体"/>
          <w:color w:val="auto"/>
          <w:spacing w:val="-6"/>
          <w:sz w:val="21"/>
          <w:szCs w:val="21"/>
          <w:highlight w:val="none"/>
        </w:rPr>
        <w:t>财务</w:t>
      </w:r>
      <w:r>
        <w:rPr>
          <w:rFonts w:ascii="宋体" w:hAnsi="宋体"/>
          <w:color w:val="auto"/>
          <w:spacing w:val="-6"/>
          <w:sz w:val="21"/>
          <w:szCs w:val="21"/>
          <w:highlight w:val="none"/>
        </w:rPr>
        <w:t>部门</w:t>
      </w:r>
      <w:r>
        <w:rPr>
          <w:rFonts w:hint="eastAsia" w:ascii="宋体" w:hAnsi="宋体"/>
          <w:color w:val="auto"/>
          <w:spacing w:val="-6"/>
          <w:sz w:val="21"/>
          <w:szCs w:val="21"/>
          <w:highlight w:val="none"/>
        </w:rPr>
        <w:t>报备业务部门、部门负责人、具体业务人员及联系方式。如有变更，应于变更后2个工作日内书面告知</w:t>
      </w:r>
      <w:r>
        <w:rPr>
          <w:rFonts w:hint="eastAsia" w:ascii="宋体" w:hAnsi="宋体"/>
          <w:color w:val="auto"/>
          <w:spacing w:val="-6"/>
          <w:sz w:val="21"/>
          <w:szCs w:val="21"/>
          <w:highlight w:val="none"/>
          <w:lang w:eastAsia="zh-CN"/>
        </w:rPr>
        <w:t>浙江金融职业学院</w:t>
      </w:r>
      <w:r>
        <w:rPr>
          <w:rFonts w:hint="eastAsia" w:ascii="宋体" w:hAnsi="宋体"/>
          <w:color w:val="auto"/>
          <w:spacing w:val="-6"/>
          <w:sz w:val="21"/>
          <w:szCs w:val="21"/>
          <w:highlight w:val="none"/>
        </w:rPr>
        <w:t>财务</w:t>
      </w:r>
      <w:r>
        <w:rPr>
          <w:rFonts w:ascii="宋体" w:hAnsi="宋体"/>
          <w:color w:val="auto"/>
          <w:spacing w:val="-6"/>
          <w:sz w:val="21"/>
          <w:szCs w:val="21"/>
          <w:highlight w:val="none"/>
        </w:rPr>
        <w:t>部门</w:t>
      </w:r>
      <w:r>
        <w:rPr>
          <w:rFonts w:hint="eastAsia" w:ascii="宋体" w:hAnsi="宋体"/>
          <w:color w:val="auto"/>
          <w:spacing w:val="-6"/>
          <w:sz w:val="21"/>
          <w:szCs w:val="21"/>
          <w:highlight w:val="none"/>
        </w:rPr>
        <w:t>。</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四、违约责任</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除发生不可抗力外，违约责任按以下条款执行：</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1.甲方未及时签发划款指令，造成乙方滞划存款资金，甲方应按未划拨资金额，以当期存款协议中定期存款利率的两倍折成日利率，按日向乙方支付违约金；</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2.乙方未及时向甲方缴清到期存款本息的，应以当期存款协议中定期存款利率的两倍折成日利率，按日向甲方支付违约金；</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3.乙方有下列情形之一的，甲方有权提前收回定期存款，并取消乙方在以后各期的公款</w:t>
      </w:r>
      <w:r>
        <w:rPr>
          <w:rFonts w:ascii="宋体" w:hAnsi="宋体"/>
          <w:color w:val="auto"/>
          <w:spacing w:val="-6"/>
          <w:sz w:val="21"/>
          <w:szCs w:val="21"/>
          <w:highlight w:val="none"/>
        </w:rPr>
        <w:t>存放</w:t>
      </w:r>
      <w:r>
        <w:rPr>
          <w:rFonts w:hint="eastAsia" w:ascii="宋体" w:hAnsi="宋体"/>
          <w:color w:val="auto"/>
          <w:spacing w:val="-6"/>
          <w:sz w:val="21"/>
          <w:szCs w:val="21"/>
          <w:highlight w:val="none"/>
        </w:rPr>
        <w:t>投标资格：</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（一）出现资金安全事故、重大违法违规情况或财务状况恶化的；</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（二）监管评级降低后低于人民银行上年度综合评价B级，监管部门认为存在较大运营风险的；</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（三）进行不正当投标的；</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（四）没有按照中标协议承诺履行相应的责任和义务的；</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（五）不能按规定将到期存款本息足额缴入单位账户的；</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（六）存在其他妨害资金安全行为的。</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五、提前支取</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经与乙方协商，甲方有权在到期日前提前支取定期存款，甲方至少</w:t>
      </w:r>
      <w:r>
        <w:rPr>
          <w:rFonts w:ascii="宋体" w:hAnsi="宋体"/>
          <w:color w:val="auto"/>
          <w:spacing w:val="-6"/>
          <w:sz w:val="21"/>
          <w:szCs w:val="21"/>
          <w:highlight w:val="none"/>
        </w:rPr>
        <w:t>应在</w:t>
      </w:r>
      <w:r>
        <w:rPr>
          <w:rFonts w:hint="eastAsia" w:ascii="宋体" w:hAnsi="宋体"/>
          <w:color w:val="auto"/>
          <w:spacing w:val="-6"/>
          <w:sz w:val="21"/>
          <w:szCs w:val="21"/>
          <w:highlight w:val="none"/>
        </w:rPr>
        <w:t>2个</w:t>
      </w:r>
      <w:r>
        <w:rPr>
          <w:rFonts w:ascii="宋体" w:hAnsi="宋体"/>
          <w:color w:val="auto"/>
          <w:spacing w:val="-6"/>
          <w:sz w:val="21"/>
          <w:szCs w:val="21"/>
          <w:highlight w:val="none"/>
        </w:rPr>
        <w:t>工作日前通知乙方，</w:t>
      </w:r>
      <w:r>
        <w:rPr>
          <w:rFonts w:hint="eastAsia" w:ascii="宋体" w:hAnsi="宋体"/>
          <w:color w:val="auto"/>
          <w:spacing w:val="-6"/>
          <w:sz w:val="21"/>
          <w:szCs w:val="21"/>
          <w:highlight w:val="none"/>
        </w:rPr>
        <w:t>提前支取定期存款计息方案：按</w:t>
      </w:r>
      <w:r>
        <w:rPr>
          <w:rFonts w:ascii="宋体" w:hAnsi="宋体"/>
          <w:color w:val="auto"/>
          <w:spacing w:val="-6"/>
          <w:sz w:val="21"/>
          <w:szCs w:val="21"/>
          <w:highlight w:val="none"/>
        </w:rPr>
        <w:t>投标文件执行</w:t>
      </w:r>
      <w:r>
        <w:rPr>
          <w:rFonts w:hint="eastAsia" w:ascii="宋体" w:hAnsi="宋体"/>
          <w:color w:val="auto"/>
          <w:spacing w:val="-6"/>
          <w:sz w:val="21"/>
          <w:szCs w:val="21"/>
          <w:highlight w:val="none"/>
        </w:rPr>
        <w:t>。</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六、协议期限</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本协议期限自</w:t>
      </w:r>
      <w:r>
        <w:rPr>
          <w:rFonts w:hint="eastAsia" w:ascii="宋体" w:hAnsi="宋体"/>
          <w:color w:val="auto"/>
          <w:spacing w:val="-6"/>
          <w:sz w:val="21"/>
          <w:szCs w:val="21"/>
          <w:highlight w:val="none"/>
          <w:u w:val="single"/>
        </w:rPr>
        <w:t>存入之日起1年</w:t>
      </w:r>
      <w:r>
        <w:rPr>
          <w:rFonts w:hint="eastAsia" w:ascii="宋体" w:hAnsi="宋体"/>
          <w:color w:val="auto"/>
          <w:spacing w:val="-6"/>
          <w:sz w:val="21"/>
          <w:szCs w:val="21"/>
          <w:highlight w:val="none"/>
        </w:rPr>
        <w:t>。</w:t>
      </w:r>
    </w:p>
    <w:p>
      <w:pPr>
        <w:spacing w:line="360" w:lineRule="auto"/>
        <w:ind w:firstLine="495"/>
        <w:rPr>
          <w:rFonts w:ascii="宋体" w:hAnsi="宋体"/>
          <w:color w:val="auto"/>
          <w:spacing w:val="-6"/>
          <w:sz w:val="21"/>
          <w:szCs w:val="21"/>
          <w:highlight w:val="none"/>
        </w:rPr>
      </w:pPr>
      <w:r>
        <w:rPr>
          <w:rFonts w:hint="eastAsia" w:ascii="宋体" w:hAnsi="宋体"/>
          <w:b/>
          <w:color w:val="auto"/>
          <w:spacing w:val="-6"/>
          <w:sz w:val="21"/>
          <w:szCs w:val="21"/>
          <w:highlight w:val="none"/>
        </w:rPr>
        <w:t>七</w:t>
      </w:r>
      <w:r>
        <w:rPr>
          <w:rFonts w:ascii="宋体" w:hAnsi="宋体"/>
          <w:b/>
          <w:color w:val="auto"/>
          <w:spacing w:val="-6"/>
          <w:sz w:val="21"/>
          <w:szCs w:val="21"/>
          <w:highlight w:val="none"/>
        </w:rPr>
        <w:t>、</w:t>
      </w:r>
      <w:r>
        <w:rPr>
          <w:rFonts w:hint="eastAsia" w:ascii="宋体" w:hAnsi="宋体"/>
          <w:color w:val="auto"/>
          <w:spacing w:val="-6"/>
          <w:sz w:val="21"/>
          <w:szCs w:val="21"/>
          <w:highlight w:val="none"/>
        </w:rPr>
        <w:t>本协议一式伍份，甲方执叁份、乙方与鉴证方各执壹份，具有同等法律效力。执行中如对本协议产生争议，通过协商解决。</w:t>
      </w:r>
    </w:p>
    <w:p>
      <w:pPr>
        <w:spacing w:line="360" w:lineRule="auto"/>
        <w:ind w:firstLine="495"/>
        <w:rPr>
          <w:rFonts w:ascii="宋体" w:hAnsi="宋体"/>
          <w:color w:val="auto"/>
          <w:spacing w:val="-6"/>
          <w:sz w:val="21"/>
          <w:szCs w:val="21"/>
          <w:highlight w:val="none"/>
        </w:rPr>
      </w:pPr>
      <w:r>
        <w:rPr>
          <w:rFonts w:hint="eastAsia" w:ascii="宋体" w:hAnsi="宋体"/>
          <w:b/>
          <w:color w:val="auto"/>
          <w:spacing w:val="-6"/>
          <w:sz w:val="21"/>
          <w:szCs w:val="21"/>
          <w:highlight w:val="none"/>
        </w:rPr>
        <w:t>八、</w:t>
      </w:r>
      <w:r>
        <w:rPr>
          <w:rFonts w:hint="eastAsia" w:ascii="宋体" w:hAnsi="宋体"/>
          <w:color w:val="auto"/>
          <w:spacing w:val="-6"/>
          <w:sz w:val="21"/>
          <w:szCs w:val="21"/>
          <w:highlight w:val="none"/>
        </w:rPr>
        <w:t>相关</w:t>
      </w:r>
      <w:r>
        <w:rPr>
          <w:rFonts w:ascii="宋体" w:hAnsi="宋体"/>
          <w:color w:val="auto"/>
          <w:spacing w:val="-6"/>
          <w:sz w:val="21"/>
          <w:szCs w:val="21"/>
          <w:highlight w:val="none"/>
        </w:rPr>
        <w:t>招标文件、投标文件等与本合同具有同等法律效力。</w:t>
      </w:r>
    </w:p>
    <w:p>
      <w:pPr>
        <w:spacing w:line="360" w:lineRule="auto"/>
        <w:rPr>
          <w:rFonts w:ascii="宋体" w:hAnsi="宋体"/>
          <w:color w:val="auto"/>
          <w:spacing w:val="-6"/>
          <w:sz w:val="21"/>
          <w:szCs w:val="21"/>
          <w:highlight w:val="none"/>
        </w:rPr>
      </w:pPr>
      <w:r>
        <w:rPr>
          <w:rFonts w:hint="eastAsia" w:ascii="宋体" w:hAnsi="宋体"/>
          <w:b/>
          <w:bCs/>
          <w:color w:val="auto"/>
          <w:sz w:val="21"/>
          <w:szCs w:val="21"/>
          <w:highlight w:val="none"/>
        </w:rPr>
        <w:t>甲方（盖章）：</w:t>
      </w:r>
      <w:r>
        <w:rPr>
          <w:rFonts w:hint="eastAsia" w:ascii="宋体" w:hAnsi="宋体"/>
          <w:b/>
          <w:bCs/>
          <w:color w:val="auto"/>
          <w:sz w:val="21"/>
          <w:szCs w:val="21"/>
          <w:highlight w:val="none"/>
          <w:lang w:eastAsia="zh-CN"/>
        </w:rPr>
        <w:t>浙江金融职业学院</w:t>
      </w:r>
      <w:r>
        <w:rPr>
          <w:rFonts w:hint="eastAsia" w:ascii="宋体" w:hAnsi="宋体"/>
          <w:b/>
          <w:bCs/>
          <w:color w:val="auto"/>
          <w:sz w:val="21"/>
          <w:szCs w:val="21"/>
          <w:highlight w:val="none"/>
        </w:rPr>
        <w:t xml:space="preserve">        乙方（盖章）：</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法定代表人或授权委托人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法定代表人或授权委托人</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（签字）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（签字）</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地址：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地址：</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邮编：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邮编：</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电话：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电话：</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传真：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传真：</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开户银行：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开户银行：</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帐号：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帐号：</w:t>
      </w:r>
    </w:p>
    <w:p>
      <w:pPr>
        <w:pStyle w:val="12"/>
        <w:snapToGrid w:val="0"/>
        <w:spacing w:beforeLines="0" w:afterLines="0" w:line="360" w:lineRule="auto"/>
        <w:jc w:val="left"/>
        <w:rPr>
          <w:rFonts w:hAnsi="宋体"/>
          <w:color w:val="auto"/>
          <w:sz w:val="21"/>
          <w:szCs w:val="21"/>
          <w:highlight w:val="none"/>
        </w:rPr>
      </w:pPr>
    </w:p>
    <w:p>
      <w:pPr>
        <w:pStyle w:val="12"/>
        <w:snapToGrid w:val="0"/>
        <w:spacing w:beforeLines="0" w:afterLines="0" w:line="360" w:lineRule="auto"/>
        <w:jc w:val="left"/>
        <w:rPr>
          <w:rFonts w:hAnsi="宋体"/>
          <w:color w:val="auto"/>
          <w:sz w:val="21"/>
          <w:szCs w:val="21"/>
          <w:highlight w:val="none"/>
        </w:rPr>
      </w:pPr>
      <w:r>
        <w:rPr>
          <w:rFonts w:hint="eastAsia" w:hAnsi="宋体"/>
          <w:color w:val="auto"/>
          <w:sz w:val="21"/>
          <w:szCs w:val="21"/>
          <w:highlight w:val="none"/>
        </w:rPr>
        <w:t>签约时间：   年   月   日</w:t>
      </w:r>
    </w:p>
    <w:p>
      <w:pPr>
        <w:spacing w:line="360" w:lineRule="auto"/>
        <w:jc w:val="left"/>
        <w:rPr>
          <w:rFonts w:ascii="宋体" w:hAnsi="宋体"/>
          <w:color w:val="auto"/>
          <w:sz w:val="21"/>
          <w:szCs w:val="21"/>
          <w:highlight w:val="none"/>
        </w:rPr>
      </w:pPr>
      <w:r>
        <w:rPr>
          <w:rFonts w:hint="eastAsia" w:ascii="宋体" w:hAnsi="宋体"/>
          <w:color w:val="auto"/>
          <w:sz w:val="21"/>
          <w:szCs w:val="21"/>
          <w:highlight w:val="none"/>
        </w:rPr>
        <w:t>签约地点：</w:t>
      </w:r>
    </w:p>
    <w:p>
      <w:pPr>
        <w:pStyle w:val="12"/>
        <w:snapToGrid w:val="0"/>
        <w:spacing w:beforeLines="0" w:afterLines="0" w:line="360" w:lineRule="auto"/>
        <w:jc w:val="left"/>
        <w:rPr>
          <w:rFonts w:hAnsi="宋体"/>
          <w:color w:val="auto"/>
          <w:sz w:val="21"/>
          <w:szCs w:val="21"/>
          <w:highlight w:val="none"/>
        </w:rPr>
      </w:pPr>
    </w:p>
    <w:p>
      <w:pPr>
        <w:pStyle w:val="12"/>
        <w:snapToGrid w:val="0"/>
        <w:spacing w:beforeLines="0" w:afterLines="0" w:line="360" w:lineRule="auto"/>
        <w:jc w:val="left"/>
        <w:rPr>
          <w:rFonts w:hAnsi="宋体"/>
          <w:color w:val="auto"/>
          <w:sz w:val="21"/>
          <w:szCs w:val="21"/>
          <w:highlight w:val="none"/>
        </w:rPr>
      </w:pPr>
      <w:r>
        <w:rPr>
          <w:rFonts w:hint="eastAsia" w:hAnsi="宋体"/>
          <w:color w:val="auto"/>
          <w:sz w:val="21"/>
          <w:szCs w:val="21"/>
          <w:highlight w:val="none"/>
        </w:rPr>
        <w:t>合同鉴证方：浙江求是招标代理有限公司（公章）</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法定代表人或主要负责人：</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（签字）</w:t>
      </w:r>
    </w:p>
    <w:p>
      <w:pPr>
        <w:pStyle w:val="12"/>
        <w:adjustRightInd w:val="0"/>
        <w:snapToGrid w:val="0"/>
        <w:spacing w:beforeLines="0" w:afterLines="0" w:line="360" w:lineRule="auto"/>
        <w:ind w:left="5103" w:hanging="5103" w:hangingChars="2430"/>
        <w:jc w:val="left"/>
        <w:rPr>
          <w:rFonts w:hAnsi="宋体"/>
          <w:sz w:val="21"/>
          <w:szCs w:val="21"/>
          <w:highlight w:val="none"/>
        </w:rPr>
      </w:pPr>
      <w:r>
        <w:rPr>
          <w:rFonts w:hint="eastAsia" w:hAnsi="宋体"/>
          <w:color w:val="auto"/>
          <w:sz w:val="21"/>
          <w:szCs w:val="21"/>
          <w:highlight w:val="none"/>
        </w:rPr>
        <w:t>鉴证日期：</w:t>
      </w:r>
    </w:p>
    <w:p>
      <w:pPr>
        <w:spacing w:line="360" w:lineRule="auto"/>
        <w:ind w:right="28" w:rightChars="10"/>
        <w:jc w:val="center"/>
        <w:outlineLvl w:val="0"/>
        <w:rPr>
          <w:rFonts w:ascii="宋体" w:hAnsi="宋体"/>
          <w:spacing w:val="-6"/>
          <w:sz w:val="21"/>
          <w:highlight w:val="none"/>
        </w:rPr>
      </w:pPr>
      <w:r>
        <w:rPr>
          <w:rFonts w:hAnsi="宋体"/>
          <w:b/>
          <w:spacing w:val="-6"/>
          <w:sz w:val="32"/>
          <w:szCs w:val="32"/>
          <w:highlight w:val="none"/>
        </w:rPr>
        <w:br w:type="page"/>
      </w:r>
      <w:r>
        <w:rPr>
          <w:rFonts w:hAnsi="宋体"/>
          <w:b/>
          <w:spacing w:val="-6"/>
          <w:sz w:val="32"/>
          <w:szCs w:val="32"/>
          <w:highlight w:val="none"/>
        </w:rPr>
        <w:t>第六章投标文件格式</w:t>
      </w:r>
    </w:p>
    <w:p>
      <w:pPr>
        <w:spacing w:line="360" w:lineRule="auto"/>
        <w:rPr>
          <w:rFonts w:ascii="宋体" w:hAnsi="宋体"/>
          <w:b/>
          <w:bCs/>
          <w:spacing w:val="-6"/>
          <w:sz w:val="24"/>
          <w:highlight w:val="none"/>
        </w:rPr>
      </w:pPr>
    </w:p>
    <w:p>
      <w:pPr>
        <w:pStyle w:val="12"/>
        <w:spacing w:beforeLines="0" w:afterLines="0" w:line="360" w:lineRule="auto"/>
        <w:ind w:firstLine="398" w:firstLineChars="200"/>
        <w:rPr>
          <w:rFonts w:hAnsi="宋体"/>
          <w:b/>
          <w:bCs/>
          <w:spacing w:val="-6"/>
          <w:sz w:val="21"/>
          <w:szCs w:val="21"/>
          <w:highlight w:val="none"/>
        </w:rPr>
      </w:pPr>
      <w:r>
        <w:rPr>
          <w:rFonts w:hint="eastAsia" w:hAnsi="宋体"/>
          <w:b/>
          <w:bCs/>
          <w:spacing w:val="-6"/>
          <w:sz w:val="21"/>
          <w:szCs w:val="21"/>
          <w:highlight w:val="none"/>
        </w:rPr>
        <w:t>投标文件的编制应按照本项目：“第三章  投标人须知”</w:t>
      </w:r>
      <w:r>
        <w:rPr>
          <w:rFonts w:hAnsi="宋体"/>
          <w:b/>
          <w:spacing w:val="-6"/>
          <w:sz w:val="21"/>
          <w:szCs w:val="21"/>
          <w:highlight w:val="none"/>
        </w:rPr>
        <w:t>三</w:t>
      </w:r>
      <w:r>
        <w:rPr>
          <w:rFonts w:hint="eastAsia" w:hAnsi="宋体"/>
          <w:b/>
          <w:spacing w:val="-6"/>
          <w:sz w:val="21"/>
          <w:szCs w:val="21"/>
          <w:highlight w:val="none"/>
        </w:rPr>
        <w:t>、</w:t>
      </w:r>
      <w:r>
        <w:rPr>
          <w:rFonts w:hAnsi="宋体"/>
          <w:b/>
          <w:spacing w:val="-6"/>
          <w:sz w:val="21"/>
          <w:szCs w:val="21"/>
          <w:highlight w:val="none"/>
        </w:rPr>
        <w:t>投标文件的编制</w:t>
      </w:r>
      <w:r>
        <w:rPr>
          <w:rFonts w:hint="eastAsia" w:hAnsi="宋体"/>
          <w:b/>
          <w:spacing w:val="-6"/>
          <w:sz w:val="21"/>
          <w:szCs w:val="21"/>
          <w:highlight w:val="none"/>
        </w:rPr>
        <w:t>的要求编制。</w:t>
      </w:r>
    </w:p>
    <w:p>
      <w:pPr>
        <w:spacing w:line="360" w:lineRule="auto"/>
        <w:rPr>
          <w:rFonts w:ascii="宋体" w:hAnsi="宋体"/>
          <w:b/>
          <w:bCs/>
          <w:spacing w:val="-6"/>
          <w:sz w:val="24"/>
          <w:highlight w:val="none"/>
        </w:rPr>
      </w:pPr>
    </w:p>
    <w:p>
      <w:pPr>
        <w:spacing w:line="360" w:lineRule="auto"/>
        <w:rPr>
          <w:rFonts w:ascii="宋体" w:hAnsi="宋体"/>
          <w:b/>
          <w:bCs/>
          <w:spacing w:val="-6"/>
          <w:sz w:val="24"/>
          <w:highlight w:val="none"/>
        </w:rPr>
      </w:pPr>
    </w:p>
    <w:p>
      <w:pPr>
        <w:spacing w:line="360" w:lineRule="auto"/>
        <w:rPr>
          <w:rFonts w:ascii="宋体" w:hAnsi="宋体"/>
          <w:b/>
          <w:bCs/>
          <w:spacing w:val="-6"/>
          <w:sz w:val="24"/>
          <w:highlight w:val="none"/>
        </w:rPr>
      </w:pPr>
    </w:p>
    <w:p>
      <w:pPr>
        <w:spacing w:line="360" w:lineRule="auto"/>
        <w:jc w:val="center"/>
        <w:rPr>
          <w:rFonts w:ascii="宋体" w:hAnsi="宋体"/>
          <w:b/>
          <w:bCs/>
          <w:spacing w:val="-6"/>
          <w:sz w:val="24"/>
          <w:highlight w:val="none"/>
        </w:rPr>
      </w:pPr>
      <w:r>
        <w:rPr>
          <w:rFonts w:hint="eastAsia" w:ascii="宋体" w:hAnsi="宋体"/>
          <w:b/>
          <w:bCs/>
          <w:spacing w:val="-6"/>
          <w:sz w:val="24"/>
          <w:highlight w:val="none"/>
        </w:rPr>
        <w:t>外层包装（封签）</w:t>
      </w:r>
    </w:p>
    <w:p>
      <w:pPr>
        <w:spacing w:line="360" w:lineRule="auto"/>
        <w:rPr>
          <w:rFonts w:ascii="宋体" w:hAnsi="宋体"/>
          <w:spacing w:val="-6"/>
          <w:sz w:val="24"/>
          <w:highlight w:val="none"/>
        </w:rPr>
      </w:pPr>
    </w:p>
    <w:p>
      <w:pPr>
        <w:spacing w:line="360" w:lineRule="auto"/>
        <w:jc w:val="center"/>
        <w:rPr>
          <w:rFonts w:ascii="宋体" w:hAnsi="宋体"/>
          <w:bCs/>
          <w:spacing w:val="-6"/>
          <w:sz w:val="24"/>
          <w:highlight w:val="none"/>
        </w:rPr>
      </w:pPr>
      <w:r>
        <w:rPr>
          <w:rFonts w:hint="eastAsia" w:ascii="宋体" w:hAnsi="宋体"/>
          <w:bCs/>
          <w:spacing w:val="-6"/>
          <w:sz w:val="24"/>
          <w:highlight w:val="none"/>
          <w:u w:val="single"/>
        </w:rPr>
        <w:t xml:space="preserve">                            </w:t>
      </w:r>
      <w:r>
        <w:rPr>
          <w:rFonts w:hint="eastAsia" w:ascii="宋体" w:hAnsi="宋体"/>
          <w:bCs/>
          <w:spacing w:val="-6"/>
          <w:sz w:val="24"/>
          <w:highlight w:val="none"/>
        </w:rPr>
        <w:t>（投标人名称）</w:t>
      </w:r>
    </w:p>
    <w:p>
      <w:pPr>
        <w:spacing w:line="360" w:lineRule="auto"/>
        <w:jc w:val="center"/>
        <w:rPr>
          <w:rFonts w:ascii="宋体" w:hAnsi="宋体"/>
          <w:b/>
          <w:bCs/>
          <w:spacing w:val="-6"/>
          <w:sz w:val="24"/>
          <w:highlight w:val="none"/>
        </w:rPr>
      </w:pPr>
      <w:r>
        <w:rPr>
          <w:rFonts w:hint="eastAsia" w:ascii="宋体" w:hAnsi="宋体"/>
          <w:b/>
          <w:bCs/>
          <w:spacing w:val="-6"/>
          <w:sz w:val="24"/>
          <w:highlight w:val="none"/>
        </w:rPr>
        <w:t>投 标 文 件</w:t>
      </w:r>
    </w:p>
    <w:p>
      <w:pPr>
        <w:spacing w:line="360" w:lineRule="auto"/>
        <w:rPr>
          <w:rFonts w:ascii="宋体" w:hAnsi="宋体"/>
          <w:bCs/>
          <w:spacing w:val="-6"/>
          <w:sz w:val="24"/>
          <w:highlight w:val="none"/>
        </w:rPr>
      </w:pP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 标 人：</w:t>
      </w:r>
      <w:r>
        <w:rPr>
          <w:rFonts w:hint="eastAsia" w:ascii="宋体" w:hAnsi="宋体"/>
          <w:bCs/>
          <w:spacing w:val="-6"/>
          <w:sz w:val="24"/>
          <w:highlight w:val="none"/>
          <w:lang w:eastAsia="zh-CN"/>
        </w:rPr>
        <w:t>浙江金融职业学院</w:t>
      </w: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招标项目名称：</w:t>
      </w:r>
      <w:r>
        <w:rPr>
          <w:rFonts w:hint="eastAsia" w:ascii="宋体" w:hAnsi="宋体"/>
          <w:bCs/>
          <w:spacing w:val="-6"/>
          <w:sz w:val="24"/>
          <w:highlight w:val="none"/>
          <w:lang w:eastAsia="zh-CN"/>
        </w:rPr>
        <w:t>2023年第一期公款竞争性存放</w:t>
      </w:r>
    </w:p>
    <w:p>
      <w:pPr>
        <w:spacing w:line="360" w:lineRule="auto"/>
        <w:rPr>
          <w:rFonts w:ascii="宋体" w:hAnsi="宋体"/>
          <w:bCs/>
          <w:spacing w:val="-6"/>
          <w:sz w:val="24"/>
          <w:highlight w:val="none"/>
        </w:rPr>
      </w:pPr>
      <w:r>
        <w:rPr>
          <w:rFonts w:hint="eastAsia" w:ascii="宋体" w:hAnsi="宋体"/>
          <w:bCs/>
          <w:spacing w:val="-6"/>
          <w:sz w:val="24"/>
          <w:highlight w:val="none"/>
        </w:rPr>
        <w:t>招标项目编号：</w:t>
      </w:r>
      <w:r>
        <w:rPr>
          <w:rFonts w:hint="eastAsia" w:ascii="宋体" w:hAnsi="宋体"/>
          <w:bCs/>
          <w:spacing w:val="-6"/>
          <w:sz w:val="24"/>
          <w:highlight w:val="none"/>
          <w:lang w:eastAsia="zh-CN"/>
        </w:rPr>
        <w:t>QSZB-F(F)-B23138(GK)</w:t>
      </w:r>
      <w:r>
        <w:rPr>
          <w:rFonts w:hint="eastAsia" w:ascii="宋体" w:hAnsi="宋体"/>
          <w:bCs/>
          <w:spacing w:val="-6"/>
          <w:sz w:val="24"/>
          <w:highlight w:val="none"/>
        </w:rPr>
        <w:t xml:space="preserve"> </w:t>
      </w:r>
    </w:p>
    <w:p>
      <w:pPr>
        <w:spacing w:line="360" w:lineRule="auto"/>
        <w:rPr>
          <w:rFonts w:ascii="宋体" w:hAnsi="宋体"/>
          <w:bCs/>
          <w:spacing w:val="-6"/>
          <w:sz w:val="24"/>
          <w:highlight w:val="none"/>
        </w:rPr>
      </w:pPr>
      <w:r>
        <w:rPr>
          <w:rFonts w:hint="eastAsia" w:ascii="宋体" w:hAnsi="宋体"/>
          <w:bCs/>
          <w:spacing w:val="-6"/>
          <w:sz w:val="24"/>
          <w:highlight w:val="none"/>
        </w:rPr>
        <w:t>投标人名称（盖章）：</w:t>
      </w:r>
    </w:p>
    <w:p>
      <w:pPr>
        <w:spacing w:line="360" w:lineRule="auto"/>
        <w:rPr>
          <w:rFonts w:ascii="宋体" w:hAnsi="宋体"/>
          <w:bCs/>
          <w:spacing w:val="-6"/>
          <w:sz w:val="24"/>
          <w:highlight w:val="none"/>
        </w:rPr>
      </w:pPr>
      <w:r>
        <w:rPr>
          <w:rFonts w:hint="eastAsia" w:ascii="宋体" w:hAnsi="宋体"/>
          <w:bCs/>
          <w:spacing w:val="-6"/>
          <w:sz w:val="24"/>
          <w:highlight w:val="none"/>
        </w:rPr>
        <w:t>投标人地址：</w:t>
      </w:r>
    </w:p>
    <w:p>
      <w:pPr>
        <w:spacing w:line="360" w:lineRule="auto"/>
        <w:rPr>
          <w:rFonts w:ascii="宋体" w:hAnsi="宋体"/>
          <w:bCs/>
          <w:spacing w:val="-6"/>
          <w:sz w:val="24"/>
          <w:highlight w:val="none"/>
        </w:rPr>
      </w:pPr>
      <w:r>
        <w:rPr>
          <w:rFonts w:hint="eastAsia" w:ascii="宋体" w:hAnsi="宋体"/>
          <w:bCs/>
          <w:spacing w:val="-6"/>
          <w:sz w:val="24"/>
          <w:highlight w:val="none"/>
        </w:rPr>
        <w:t>在  年  月  日  时  分之前不得启封</w:t>
      </w:r>
    </w:p>
    <w:p>
      <w:pPr>
        <w:spacing w:line="360" w:lineRule="auto"/>
        <w:rPr>
          <w:rFonts w:ascii="宋体" w:hAnsi="宋体"/>
          <w:bCs/>
          <w:spacing w:val="-6"/>
          <w:sz w:val="24"/>
          <w:highlight w:val="none"/>
        </w:rPr>
      </w:pPr>
    </w:p>
    <w:p>
      <w:pPr>
        <w:spacing w:line="360" w:lineRule="auto"/>
        <w:rPr>
          <w:rFonts w:ascii="宋体" w:hAnsi="宋体"/>
          <w:bCs/>
          <w:spacing w:val="-6"/>
          <w:sz w:val="24"/>
          <w:highlight w:val="none"/>
        </w:rPr>
      </w:pPr>
      <w:r>
        <w:rPr>
          <w:rFonts w:hint="eastAsia" w:ascii="宋体" w:hAnsi="宋体"/>
          <w:spacing w:val="-6"/>
          <w:sz w:val="24"/>
          <w:highlight w:val="none"/>
        </w:rPr>
        <w:t>投标人代表签字</w:t>
      </w:r>
      <w:r>
        <w:rPr>
          <w:rFonts w:hint="eastAsia" w:ascii="宋体" w:hAnsi="宋体"/>
          <w:bCs/>
          <w:spacing w:val="-6"/>
          <w:sz w:val="24"/>
          <w:highlight w:val="none"/>
        </w:rPr>
        <w:t>：</w:t>
      </w:r>
    </w:p>
    <w:p>
      <w:pPr>
        <w:spacing w:line="360" w:lineRule="auto"/>
        <w:rPr>
          <w:rFonts w:ascii="宋体" w:hAnsi="宋体"/>
          <w:bCs/>
          <w:spacing w:val="-6"/>
          <w:sz w:val="24"/>
          <w:highlight w:val="none"/>
        </w:rPr>
      </w:pPr>
      <w:r>
        <w:rPr>
          <w:rFonts w:hint="eastAsia" w:ascii="宋体" w:hAnsi="宋体"/>
          <w:bCs/>
          <w:spacing w:val="-6"/>
          <w:sz w:val="24"/>
          <w:highlight w:val="none"/>
        </w:rPr>
        <w:t>日期：  年  月  日</w:t>
      </w:r>
    </w:p>
    <w:p>
      <w:pPr>
        <w:spacing w:line="360" w:lineRule="auto"/>
        <w:rPr>
          <w:rFonts w:ascii="宋体" w:hAnsi="宋体"/>
          <w:spacing w:val="-6"/>
          <w:sz w:val="24"/>
          <w:highlight w:val="none"/>
        </w:rPr>
      </w:pPr>
      <w:r>
        <w:rPr>
          <w:rFonts w:ascii="宋体" w:hAnsi="宋体"/>
          <w:bCs/>
          <w:spacing w:val="-6"/>
          <w:sz w:val="24"/>
          <w:highlight w:val="none"/>
        </w:rPr>
        <w:br w:type="page"/>
      </w:r>
      <w:r>
        <w:rPr>
          <w:rFonts w:hint="eastAsia" w:ascii="宋体" w:hAnsi="宋体"/>
          <w:bCs/>
          <w:spacing w:val="-6"/>
          <w:sz w:val="24"/>
          <w:highlight w:val="none"/>
        </w:rPr>
        <w:t>文件</w:t>
      </w:r>
      <w:r>
        <w:rPr>
          <w:rFonts w:hint="eastAsia" w:ascii="宋体" w:hAnsi="宋体"/>
          <w:spacing w:val="-6"/>
          <w:sz w:val="24"/>
          <w:highlight w:val="none"/>
        </w:rPr>
        <w:t>封面</w:t>
      </w:r>
    </w:p>
    <w:p>
      <w:pPr>
        <w:spacing w:line="360" w:lineRule="auto"/>
        <w:jc w:val="right"/>
        <w:rPr>
          <w:rFonts w:ascii="宋体" w:hAnsi="宋体"/>
          <w:spacing w:val="-6"/>
          <w:sz w:val="24"/>
          <w:highlight w:val="none"/>
        </w:rPr>
      </w:pPr>
      <w:r>
        <w:rPr>
          <w:rFonts w:hint="eastAsia" w:ascii="宋体" w:hAnsi="宋体"/>
          <w:b/>
          <w:bCs/>
          <w:spacing w:val="-6"/>
          <w:sz w:val="24"/>
          <w:highlight w:val="none"/>
        </w:rPr>
        <w:t>正本或副本</w:t>
      </w:r>
    </w:p>
    <w:p>
      <w:pPr>
        <w:spacing w:line="360" w:lineRule="auto"/>
        <w:rPr>
          <w:rFonts w:ascii="宋体" w:hAnsi="宋体"/>
          <w:spacing w:val="-6"/>
          <w:sz w:val="24"/>
          <w:highlight w:val="none"/>
        </w:rPr>
      </w:pPr>
    </w:p>
    <w:p>
      <w:pPr>
        <w:spacing w:line="360" w:lineRule="auto"/>
        <w:jc w:val="center"/>
        <w:rPr>
          <w:rFonts w:ascii="宋体" w:hAnsi="宋体"/>
          <w:bCs/>
          <w:spacing w:val="-6"/>
          <w:sz w:val="24"/>
          <w:highlight w:val="none"/>
        </w:rPr>
      </w:pPr>
      <w:r>
        <w:rPr>
          <w:rFonts w:hint="eastAsia" w:ascii="宋体" w:hAnsi="宋体"/>
          <w:bCs/>
          <w:spacing w:val="-6"/>
          <w:sz w:val="24"/>
          <w:highlight w:val="none"/>
          <w:u w:val="single"/>
        </w:rPr>
        <w:t xml:space="preserve">                          </w:t>
      </w:r>
      <w:r>
        <w:rPr>
          <w:rFonts w:hint="eastAsia" w:ascii="宋体" w:hAnsi="宋体"/>
          <w:bCs/>
          <w:spacing w:val="-6"/>
          <w:sz w:val="24"/>
          <w:highlight w:val="none"/>
        </w:rPr>
        <w:t>（投标人名称）</w:t>
      </w:r>
    </w:p>
    <w:p>
      <w:pPr>
        <w:spacing w:line="360" w:lineRule="auto"/>
        <w:jc w:val="center"/>
        <w:rPr>
          <w:rFonts w:ascii="宋体" w:hAnsi="宋体"/>
          <w:b/>
          <w:bCs/>
          <w:spacing w:val="-6"/>
          <w:sz w:val="24"/>
          <w:highlight w:val="none"/>
        </w:rPr>
      </w:pPr>
      <w:r>
        <w:rPr>
          <w:rFonts w:hint="eastAsia" w:ascii="宋体" w:hAnsi="宋体"/>
          <w:b/>
          <w:bCs/>
          <w:spacing w:val="-6"/>
          <w:sz w:val="24"/>
          <w:highlight w:val="none"/>
        </w:rPr>
        <w:t>投标文件</w:t>
      </w:r>
    </w:p>
    <w:p>
      <w:pPr>
        <w:spacing w:line="360" w:lineRule="auto"/>
        <w:rPr>
          <w:rFonts w:ascii="宋体" w:hAnsi="宋体"/>
          <w:bCs/>
          <w:spacing w:val="-6"/>
          <w:sz w:val="24"/>
          <w:highlight w:val="none"/>
        </w:rPr>
      </w:pP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 标 人：</w:t>
      </w:r>
      <w:r>
        <w:rPr>
          <w:rFonts w:hint="eastAsia" w:ascii="宋体" w:hAnsi="宋体"/>
          <w:bCs/>
          <w:spacing w:val="-6"/>
          <w:sz w:val="24"/>
          <w:highlight w:val="none"/>
          <w:lang w:eastAsia="zh-CN"/>
        </w:rPr>
        <w:t>浙江金融职业学院</w:t>
      </w: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招标项目名称：</w:t>
      </w:r>
      <w:r>
        <w:rPr>
          <w:rFonts w:hint="eastAsia" w:ascii="宋体" w:hAnsi="宋体"/>
          <w:bCs/>
          <w:spacing w:val="-6"/>
          <w:sz w:val="24"/>
          <w:highlight w:val="none"/>
          <w:lang w:eastAsia="zh-CN"/>
        </w:rPr>
        <w:t>2023年第一期公款竞争性存放</w:t>
      </w:r>
    </w:p>
    <w:p>
      <w:pPr>
        <w:spacing w:line="360" w:lineRule="auto"/>
        <w:rPr>
          <w:rFonts w:ascii="宋体" w:hAnsi="宋体"/>
          <w:bCs/>
          <w:spacing w:val="-6"/>
          <w:sz w:val="24"/>
          <w:highlight w:val="none"/>
        </w:rPr>
      </w:pPr>
      <w:r>
        <w:rPr>
          <w:rFonts w:hint="eastAsia" w:ascii="宋体" w:hAnsi="宋体"/>
          <w:bCs/>
          <w:spacing w:val="-6"/>
          <w:sz w:val="24"/>
          <w:highlight w:val="none"/>
        </w:rPr>
        <w:t>招标项目编号：</w:t>
      </w:r>
      <w:r>
        <w:rPr>
          <w:rFonts w:hint="eastAsia" w:ascii="宋体" w:hAnsi="宋体"/>
          <w:bCs/>
          <w:spacing w:val="-6"/>
          <w:sz w:val="24"/>
          <w:highlight w:val="none"/>
          <w:lang w:eastAsia="zh-CN"/>
        </w:rPr>
        <w:t>QSZB-F(F)-B23138(GK)</w:t>
      </w:r>
      <w:r>
        <w:rPr>
          <w:rFonts w:hint="eastAsia" w:ascii="宋体" w:hAnsi="宋体"/>
          <w:bCs/>
          <w:spacing w:val="-6"/>
          <w:sz w:val="24"/>
          <w:highlight w:val="none"/>
        </w:rPr>
        <w:t xml:space="preserve"> </w:t>
      </w:r>
    </w:p>
    <w:p>
      <w:pPr>
        <w:spacing w:line="360" w:lineRule="auto"/>
        <w:rPr>
          <w:rFonts w:ascii="宋体" w:hAnsi="宋体"/>
          <w:bCs/>
          <w:spacing w:val="-6"/>
          <w:sz w:val="24"/>
          <w:highlight w:val="none"/>
        </w:rPr>
      </w:pPr>
      <w:r>
        <w:rPr>
          <w:rFonts w:hint="eastAsia" w:ascii="宋体" w:hAnsi="宋体"/>
          <w:bCs/>
          <w:spacing w:val="-6"/>
          <w:sz w:val="24"/>
          <w:highlight w:val="none"/>
        </w:rPr>
        <w:t>投标人名称（盖章）：</w:t>
      </w:r>
    </w:p>
    <w:p>
      <w:pPr>
        <w:spacing w:line="360" w:lineRule="auto"/>
        <w:rPr>
          <w:rFonts w:ascii="宋体" w:hAnsi="宋体"/>
          <w:bCs/>
          <w:spacing w:val="-6"/>
          <w:sz w:val="24"/>
          <w:highlight w:val="none"/>
        </w:rPr>
      </w:pPr>
      <w:r>
        <w:rPr>
          <w:rFonts w:hint="eastAsia" w:ascii="宋体" w:hAnsi="宋体"/>
          <w:bCs/>
          <w:spacing w:val="-6"/>
          <w:sz w:val="24"/>
          <w:highlight w:val="none"/>
        </w:rPr>
        <w:t>投标人地址：</w:t>
      </w:r>
    </w:p>
    <w:p>
      <w:pPr>
        <w:spacing w:line="360" w:lineRule="auto"/>
        <w:rPr>
          <w:rFonts w:ascii="宋体" w:hAnsi="宋体"/>
          <w:bCs/>
          <w:spacing w:val="-6"/>
          <w:sz w:val="24"/>
          <w:highlight w:val="none"/>
        </w:rPr>
      </w:pPr>
    </w:p>
    <w:p>
      <w:pPr>
        <w:spacing w:line="360" w:lineRule="auto"/>
        <w:rPr>
          <w:rFonts w:ascii="宋体" w:hAnsi="宋体"/>
          <w:bCs/>
          <w:spacing w:val="-6"/>
          <w:sz w:val="24"/>
          <w:highlight w:val="none"/>
        </w:rPr>
      </w:pPr>
      <w:r>
        <w:rPr>
          <w:rFonts w:hint="eastAsia" w:ascii="宋体" w:hAnsi="宋体"/>
          <w:bCs/>
          <w:spacing w:val="-6"/>
          <w:sz w:val="24"/>
          <w:highlight w:val="none"/>
        </w:rPr>
        <w:t>投标人代表签字：</w:t>
      </w:r>
    </w:p>
    <w:p>
      <w:pPr>
        <w:spacing w:line="360" w:lineRule="auto"/>
        <w:rPr>
          <w:rFonts w:ascii="宋体" w:hAnsi="宋体"/>
          <w:bCs/>
          <w:spacing w:val="-6"/>
          <w:sz w:val="24"/>
          <w:highlight w:val="none"/>
        </w:rPr>
      </w:pPr>
      <w:r>
        <w:rPr>
          <w:rFonts w:hint="eastAsia" w:ascii="宋体" w:hAnsi="宋体"/>
          <w:bCs/>
          <w:spacing w:val="-6"/>
          <w:sz w:val="24"/>
          <w:highlight w:val="none"/>
        </w:rPr>
        <w:t>日期：  年  月  日</w:t>
      </w:r>
    </w:p>
    <w:p>
      <w:pPr>
        <w:spacing w:line="360" w:lineRule="auto"/>
        <w:jc w:val="center"/>
        <w:outlineLvl w:val="1"/>
        <w:rPr>
          <w:rFonts w:ascii="宋体" w:hAnsi="宋体"/>
          <w:b/>
          <w:spacing w:val="-6"/>
          <w:sz w:val="52"/>
          <w:szCs w:val="52"/>
          <w:highlight w:val="none"/>
        </w:rPr>
      </w:pPr>
      <w:r>
        <w:rPr>
          <w:rFonts w:ascii="宋体" w:hAnsi="宋体"/>
          <w:spacing w:val="-6"/>
          <w:sz w:val="24"/>
          <w:highlight w:val="none"/>
        </w:rPr>
        <w:br w:type="page"/>
      </w:r>
      <w:r>
        <w:rPr>
          <w:rFonts w:hint="eastAsia" w:ascii="宋体" w:hAnsi="宋体"/>
          <w:b/>
          <w:spacing w:val="-6"/>
          <w:sz w:val="52"/>
          <w:szCs w:val="52"/>
          <w:highlight w:val="none"/>
        </w:rPr>
        <w:t>报价文件</w:t>
      </w:r>
    </w:p>
    <w:p>
      <w:pPr>
        <w:snapToGrid w:val="0"/>
        <w:spacing w:line="360" w:lineRule="auto"/>
        <w:jc w:val="center"/>
        <w:outlineLvl w:val="2"/>
        <w:rPr>
          <w:rFonts w:ascii="宋体" w:hAnsi="宋体"/>
          <w:b/>
          <w:spacing w:val="-6"/>
          <w:sz w:val="24"/>
          <w:highlight w:val="none"/>
        </w:rPr>
      </w:pPr>
      <w:r>
        <w:rPr>
          <w:rFonts w:hint="eastAsia" w:ascii="宋体" w:hAnsi="宋体"/>
          <w:b/>
          <w:spacing w:val="-6"/>
          <w:sz w:val="24"/>
          <w:highlight w:val="none"/>
        </w:rPr>
        <w:t>开标一览表</w:t>
      </w: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 标 人：</w:t>
      </w:r>
      <w:r>
        <w:rPr>
          <w:rFonts w:hint="eastAsia" w:ascii="宋体" w:hAnsi="宋体"/>
          <w:bCs/>
          <w:spacing w:val="-6"/>
          <w:sz w:val="24"/>
          <w:highlight w:val="none"/>
          <w:lang w:eastAsia="zh-CN"/>
        </w:rPr>
        <w:t>浙江金融职业学院</w:t>
      </w: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招标项目名称：</w:t>
      </w:r>
      <w:r>
        <w:rPr>
          <w:rFonts w:hint="eastAsia" w:ascii="宋体" w:hAnsi="宋体"/>
          <w:bCs/>
          <w:spacing w:val="-6"/>
          <w:sz w:val="24"/>
          <w:highlight w:val="none"/>
          <w:lang w:eastAsia="zh-CN"/>
        </w:rPr>
        <w:t>2023年第一期公款竞争性存放</w:t>
      </w:r>
    </w:p>
    <w:p>
      <w:pPr>
        <w:snapToGrid w:val="0"/>
        <w:spacing w:line="360" w:lineRule="auto"/>
        <w:rPr>
          <w:rFonts w:hint="eastAsia" w:ascii="宋体" w:hAnsi="宋体" w:eastAsia="宋体"/>
          <w:b/>
          <w:spacing w:val="-6"/>
          <w:sz w:val="24"/>
          <w:highlight w:val="none"/>
          <w:lang w:eastAsia="zh-CN"/>
        </w:rPr>
      </w:pPr>
      <w:r>
        <w:rPr>
          <w:rFonts w:hint="eastAsia" w:ascii="宋体" w:hAnsi="宋体"/>
          <w:bCs/>
          <w:spacing w:val="-6"/>
          <w:sz w:val="24"/>
          <w:highlight w:val="none"/>
        </w:rPr>
        <w:t>招标项目编号：</w:t>
      </w:r>
      <w:r>
        <w:rPr>
          <w:rFonts w:hint="eastAsia" w:ascii="宋体" w:hAnsi="宋体"/>
          <w:bCs/>
          <w:spacing w:val="-6"/>
          <w:sz w:val="24"/>
          <w:highlight w:val="none"/>
          <w:lang w:eastAsia="zh-CN"/>
        </w:rPr>
        <w:t>QSZB-F(F)-B23138(GK)</w:t>
      </w:r>
    </w:p>
    <w:p>
      <w:pPr>
        <w:spacing w:line="360" w:lineRule="auto"/>
        <w:jc w:val="center"/>
        <w:rPr>
          <w:rFonts w:ascii="宋体" w:hAnsi="宋体"/>
          <w:bCs/>
          <w:spacing w:val="-6"/>
          <w:sz w:val="24"/>
          <w:highlight w:val="none"/>
        </w:rPr>
      </w:pPr>
    </w:p>
    <w:p>
      <w:pPr>
        <w:spacing w:line="360" w:lineRule="auto"/>
        <w:jc w:val="center"/>
        <w:rPr>
          <w:rFonts w:ascii="宋体" w:hAnsi="宋体"/>
          <w:bCs/>
          <w:spacing w:val="-6"/>
          <w:sz w:val="24"/>
          <w:highlight w:val="none"/>
        </w:rPr>
      </w:pPr>
    </w:p>
    <w:tbl>
      <w:tblPr>
        <w:tblStyle w:val="2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160"/>
        <w:gridCol w:w="2280"/>
        <w:gridCol w:w="3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2048"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名称</w:t>
            </w:r>
          </w:p>
        </w:tc>
        <w:tc>
          <w:tcPr>
            <w:tcW w:w="216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国家基准利率（%）</w:t>
            </w:r>
          </w:p>
        </w:tc>
        <w:tc>
          <w:tcPr>
            <w:tcW w:w="228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基点（bp）</w:t>
            </w:r>
          </w:p>
        </w:tc>
        <w:tc>
          <w:tcPr>
            <w:tcW w:w="314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本项目利率(%)</w:t>
            </w:r>
          </w:p>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=国家基准利率（%）+基点（bp）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048"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一年定期存款</w:t>
            </w:r>
          </w:p>
        </w:tc>
        <w:tc>
          <w:tcPr>
            <w:tcW w:w="216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p>
        </w:tc>
        <w:tc>
          <w:tcPr>
            <w:tcW w:w="228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p>
        </w:tc>
        <w:tc>
          <w:tcPr>
            <w:tcW w:w="314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488" w:type="dxa"/>
            <w:gridSpan w:val="3"/>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利率（A1）</w:t>
            </w:r>
          </w:p>
        </w:tc>
        <w:tc>
          <w:tcPr>
            <w:tcW w:w="314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p>
        </w:tc>
      </w:tr>
    </w:tbl>
    <w:p>
      <w:pPr>
        <w:spacing w:line="360" w:lineRule="auto"/>
        <w:jc w:val="center"/>
        <w:rPr>
          <w:rFonts w:ascii="宋体" w:hAnsi="宋体"/>
          <w:bCs/>
          <w:spacing w:val="-6"/>
          <w:sz w:val="24"/>
          <w:highlight w:val="none"/>
        </w:rPr>
      </w:pPr>
    </w:p>
    <w:p>
      <w:pPr>
        <w:pStyle w:val="32"/>
        <w:spacing w:line="360" w:lineRule="auto"/>
        <w:rPr>
          <w:b/>
          <w:bCs/>
          <w:color w:val="auto"/>
          <w:highlight w:val="none"/>
        </w:rPr>
      </w:pPr>
      <w:r>
        <w:rPr>
          <w:rFonts w:hint="eastAsia"/>
          <w:b/>
          <w:bCs/>
          <w:color w:val="auto"/>
          <w:highlight w:val="none"/>
        </w:rPr>
        <w:t>备注：基点（bp）：1 个基点等于0.01%</w:t>
      </w:r>
    </w:p>
    <w:p>
      <w:pPr>
        <w:pStyle w:val="32"/>
        <w:spacing w:line="360" w:lineRule="auto"/>
        <w:rPr>
          <w:b/>
          <w:bCs/>
          <w:color w:val="auto"/>
          <w:highlight w:val="none"/>
        </w:rPr>
      </w:pPr>
    </w:p>
    <w:p>
      <w:pPr>
        <w:spacing w:line="360" w:lineRule="auto"/>
        <w:jc w:val="center"/>
        <w:rPr>
          <w:rFonts w:ascii="宋体" w:hAnsi="宋体"/>
          <w:bCs/>
          <w:spacing w:val="-6"/>
          <w:sz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spacing w:val="-6"/>
          <w:sz w:val="24"/>
          <w:highlight w:val="none"/>
        </w:rPr>
      </w:pPr>
      <w:r>
        <w:rPr>
          <w:rFonts w:hint="eastAsia" w:ascii="宋体" w:hAnsi="宋体"/>
          <w:spacing w:val="-6"/>
          <w:sz w:val="24"/>
          <w:highlight w:val="none"/>
        </w:rPr>
        <w:t>投标人代表签字</w:t>
      </w:r>
      <w:r>
        <w:rPr>
          <w:rFonts w:hint="eastAsia" w:ascii="宋体" w:hAnsi="宋体"/>
          <w:bCs/>
          <w:spacing w:val="-6"/>
          <w:sz w:val="24"/>
          <w:highlight w:val="none"/>
        </w:rPr>
        <w:t>：</w:t>
      </w:r>
    </w:p>
    <w:p>
      <w:pPr>
        <w:spacing w:line="360" w:lineRule="auto"/>
        <w:rPr>
          <w:rFonts w:ascii="宋体" w:hAnsi="宋体"/>
          <w:spacing w:val="-6"/>
          <w:sz w:val="24"/>
          <w:highlight w:val="none"/>
        </w:rPr>
      </w:pPr>
      <w:r>
        <w:rPr>
          <w:rFonts w:hint="eastAsia" w:ascii="宋体" w:hAnsi="宋体"/>
          <w:bCs/>
          <w:spacing w:val="-6"/>
          <w:sz w:val="24"/>
          <w:highlight w:val="none"/>
        </w:rPr>
        <w:t>日期：  年  月  日</w:t>
      </w:r>
    </w:p>
    <w:p>
      <w:pPr>
        <w:spacing w:line="360" w:lineRule="auto"/>
        <w:rPr>
          <w:rFonts w:ascii="宋体" w:hAnsi="宋体"/>
          <w:spacing w:val="-6"/>
          <w:sz w:val="24"/>
          <w:highlight w:val="none"/>
        </w:rPr>
      </w:pPr>
    </w:p>
    <w:p>
      <w:pPr>
        <w:snapToGrid w:val="0"/>
        <w:spacing w:line="360" w:lineRule="auto"/>
        <w:jc w:val="center"/>
        <w:outlineLvl w:val="1"/>
        <w:rPr>
          <w:rFonts w:ascii="宋体" w:hAnsi="宋体"/>
          <w:b/>
          <w:spacing w:val="-6"/>
          <w:sz w:val="24"/>
          <w:highlight w:val="none"/>
        </w:rPr>
      </w:pPr>
      <w:r>
        <w:rPr>
          <w:rFonts w:ascii="宋体" w:hAnsi="宋体"/>
          <w:b/>
          <w:spacing w:val="-6"/>
          <w:sz w:val="24"/>
          <w:highlight w:val="none"/>
        </w:rPr>
        <w:br w:type="page"/>
      </w:r>
      <w:r>
        <w:rPr>
          <w:rFonts w:hint="eastAsia" w:ascii="宋体" w:hAnsi="宋体"/>
          <w:b/>
          <w:spacing w:val="-6"/>
          <w:sz w:val="52"/>
          <w:szCs w:val="52"/>
          <w:highlight w:val="none"/>
        </w:rPr>
        <w:t>资格文件</w:t>
      </w:r>
    </w:p>
    <w:p>
      <w:pPr>
        <w:snapToGrid w:val="0"/>
        <w:spacing w:line="360" w:lineRule="auto"/>
        <w:rPr>
          <w:rFonts w:ascii="宋体" w:hAnsi="宋体"/>
          <w:b/>
          <w:spacing w:val="-6"/>
          <w:sz w:val="24"/>
          <w:highlight w:val="none"/>
        </w:rPr>
      </w:pPr>
    </w:p>
    <w:p>
      <w:pPr>
        <w:spacing w:line="360" w:lineRule="auto"/>
        <w:rPr>
          <w:rFonts w:ascii="宋体" w:hAnsi="宋体"/>
          <w:bCs/>
          <w:spacing w:val="-6"/>
          <w:sz w:val="24"/>
          <w:highlight w:val="none"/>
        </w:rPr>
      </w:pPr>
      <w:r>
        <w:rPr>
          <w:rFonts w:hint="eastAsia" w:ascii="宋体" w:hAnsi="宋体"/>
          <w:bCs/>
          <w:spacing w:val="-6"/>
          <w:sz w:val="24"/>
          <w:highlight w:val="none"/>
        </w:rPr>
        <w:t>（1）有效的法人或者其他组织的营业执照等证明文件（扫描件加盖公章）、中华人民共和国金融许可证（扫描件加盖公章）</w:t>
      </w:r>
    </w:p>
    <w:p>
      <w:pPr>
        <w:spacing w:line="360" w:lineRule="auto"/>
        <w:rPr>
          <w:rFonts w:ascii="宋体" w:hAnsi="宋体"/>
          <w:bCs/>
          <w:spacing w:val="-6"/>
          <w:sz w:val="24"/>
          <w:highlight w:val="none"/>
        </w:rPr>
      </w:pPr>
      <w:r>
        <w:rPr>
          <w:rFonts w:hint="eastAsia" w:ascii="宋体" w:hAnsi="宋体"/>
          <w:bCs/>
          <w:spacing w:val="-6"/>
          <w:sz w:val="24"/>
          <w:highlight w:val="none"/>
        </w:rPr>
        <w:t>（2）中标后对本项目指定的一家杭州市区分支机构作为存款银行的承诺书，承诺在合同期内不得随意转移（包含但不限于在杭分支机构的地址，联系人等信息）（格式自拟）</w:t>
      </w:r>
    </w:p>
    <w:p>
      <w:pPr>
        <w:spacing w:line="360" w:lineRule="auto"/>
        <w:rPr>
          <w:rFonts w:ascii="宋体" w:hAnsi="宋体"/>
          <w:bCs/>
          <w:spacing w:val="-6"/>
          <w:sz w:val="24"/>
          <w:highlight w:val="none"/>
        </w:rPr>
      </w:pPr>
      <w:r>
        <w:rPr>
          <w:rFonts w:hint="eastAsia" w:ascii="宋体" w:hAnsi="宋体"/>
          <w:bCs/>
          <w:spacing w:val="-6"/>
          <w:sz w:val="24"/>
          <w:highlight w:val="none"/>
        </w:rPr>
        <w:t>（3）参加采购活动前3年内在经营活动中没有重大违法记录的书面声明（格式自拟）</w:t>
      </w:r>
    </w:p>
    <w:p>
      <w:pPr>
        <w:spacing w:line="360" w:lineRule="auto"/>
        <w:rPr>
          <w:rFonts w:ascii="宋体" w:hAnsi="宋体"/>
          <w:bCs/>
          <w:spacing w:val="-6"/>
          <w:sz w:val="24"/>
          <w:highlight w:val="none"/>
        </w:rPr>
      </w:pPr>
      <w:r>
        <w:rPr>
          <w:rFonts w:hint="eastAsia" w:ascii="宋体" w:hAnsi="宋体"/>
          <w:bCs/>
          <w:spacing w:val="-6"/>
          <w:sz w:val="24"/>
          <w:highlight w:val="none"/>
        </w:rPr>
        <w:t>（4）上一年度由人民银行杭州中心支行出具综合评价证明材料（如因人民银行原因无法提供上年度（202</w:t>
      </w:r>
      <w:r>
        <w:rPr>
          <w:rFonts w:hint="eastAsia" w:ascii="宋体" w:hAnsi="宋体"/>
          <w:bCs/>
          <w:spacing w:val="-6"/>
          <w:sz w:val="24"/>
          <w:highlight w:val="none"/>
          <w:lang w:val="en-US" w:eastAsia="zh-CN"/>
        </w:rPr>
        <w:t>2</w:t>
      </w:r>
      <w:r>
        <w:rPr>
          <w:rFonts w:hint="eastAsia" w:ascii="宋体" w:hAnsi="宋体"/>
          <w:bCs/>
          <w:spacing w:val="-6"/>
          <w:sz w:val="24"/>
          <w:highlight w:val="none"/>
        </w:rPr>
        <w:t>年度）的综合评价可提供202</w:t>
      </w:r>
      <w:r>
        <w:rPr>
          <w:rFonts w:hint="eastAsia" w:ascii="宋体" w:hAnsi="宋体"/>
          <w:bCs/>
          <w:spacing w:val="-6"/>
          <w:sz w:val="24"/>
          <w:highlight w:val="none"/>
          <w:lang w:val="en-US" w:eastAsia="zh-CN"/>
        </w:rPr>
        <w:t>1</w:t>
      </w:r>
      <w:r>
        <w:rPr>
          <w:rFonts w:hint="eastAsia" w:ascii="宋体" w:hAnsi="宋体"/>
          <w:bCs/>
          <w:spacing w:val="-6"/>
          <w:sz w:val="24"/>
          <w:highlight w:val="none"/>
        </w:rPr>
        <w:t>年度的材料文件，并说明无法提供202</w:t>
      </w:r>
      <w:r>
        <w:rPr>
          <w:rFonts w:hint="eastAsia" w:ascii="宋体" w:hAnsi="宋体"/>
          <w:bCs/>
          <w:spacing w:val="-6"/>
          <w:sz w:val="24"/>
          <w:highlight w:val="none"/>
          <w:lang w:val="en-US" w:eastAsia="zh-CN"/>
        </w:rPr>
        <w:t>2</w:t>
      </w:r>
      <w:r>
        <w:rPr>
          <w:rFonts w:hint="eastAsia" w:ascii="宋体" w:hAnsi="宋体"/>
          <w:bCs/>
          <w:spacing w:val="-6"/>
          <w:sz w:val="24"/>
          <w:highlight w:val="none"/>
        </w:rPr>
        <w:t>年度人民银行的综合评价的相关原因，出具机构对证明的真实性负责，不得虚假提供，虚假提供一经发现则取消中标资格。）</w:t>
      </w:r>
    </w:p>
    <w:p>
      <w:pPr>
        <w:spacing w:line="360" w:lineRule="auto"/>
        <w:rPr>
          <w:rFonts w:ascii="宋体" w:hAnsi="宋体"/>
          <w:b/>
          <w:spacing w:val="-6"/>
          <w:sz w:val="24"/>
          <w:highlight w:val="none"/>
        </w:rPr>
      </w:pPr>
      <w:r>
        <w:rPr>
          <w:rFonts w:hint="eastAsia" w:ascii="宋体" w:hAnsi="宋体"/>
          <w:bCs/>
          <w:spacing w:val="-6"/>
          <w:sz w:val="24"/>
          <w:highlight w:val="none"/>
        </w:rPr>
        <w:t>（5）提供投标人为省级分行的声明书或省级分行针对本项目的授权委托书（投标人为总行无需提供）</w:t>
      </w:r>
      <w:r>
        <w:rPr>
          <w:rFonts w:hint="eastAsia" w:ascii="宋体" w:hAnsi="宋体"/>
          <w:b/>
          <w:spacing w:val="-6"/>
          <w:sz w:val="24"/>
          <w:highlight w:val="none"/>
        </w:rPr>
        <w:br w:type="page"/>
      </w:r>
    </w:p>
    <w:p>
      <w:pPr>
        <w:snapToGrid w:val="0"/>
        <w:spacing w:line="360" w:lineRule="auto"/>
        <w:jc w:val="center"/>
        <w:outlineLvl w:val="2"/>
        <w:rPr>
          <w:rFonts w:ascii="宋体" w:hAnsi="宋体"/>
          <w:b/>
          <w:spacing w:val="-6"/>
          <w:sz w:val="52"/>
          <w:szCs w:val="52"/>
          <w:highlight w:val="none"/>
        </w:rPr>
      </w:pPr>
      <w:r>
        <w:rPr>
          <w:rFonts w:hint="eastAsia" w:ascii="宋体" w:hAnsi="宋体"/>
          <w:b/>
          <w:spacing w:val="-6"/>
          <w:sz w:val="52"/>
          <w:szCs w:val="52"/>
          <w:highlight w:val="none"/>
        </w:rPr>
        <w:t>商务及技术文件</w:t>
      </w:r>
    </w:p>
    <w:p>
      <w:pPr>
        <w:snapToGrid w:val="0"/>
        <w:spacing w:line="360" w:lineRule="auto"/>
        <w:jc w:val="center"/>
        <w:outlineLvl w:val="2"/>
        <w:rPr>
          <w:rFonts w:ascii="宋体" w:hAnsi="宋体"/>
          <w:b/>
          <w:spacing w:val="-6"/>
          <w:sz w:val="24"/>
          <w:highlight w:val="none"/>
        </w:rPr>
      </w:pPr>
      <w:r>
        <w:rPr>
          <w:rFonts w:hint="eastAsia" w:ascii="宋体" w:hAnsi="宋体"/>
          <w:b/>
          <w:spacing w:val="-6"/>
          <w:sz w:val="24"/>
          <w:highlight w:val="none"/>
        </w:rPr>
        <w:t>投 标 函</w:t>
      </w:r>
    </w:p>
    <w:p>
      <w:pPr>
        <w:spacing w:line="360" w:lineRule="auto"/>
        <w:rPr>
          <w:rFonts w:ascii="宋体" w:hAnsi="宋体"/>
          <w:spacing w:val="-6"/>
          <w:sz w:val="24"/>
          <w:highlight w:val="none"/>
        </w:rPr>
      </w:pPr>
      <w:r>
        <w:rPr>
          <w:rFonts w:hint="eastAsia" w:ascii="宋体" w:hAnsi="宋体"/>
          <w:spacing w:val="-6"/>
          <w:sz w:val="24"/>
          <w:highlight w:val="none"/>
        </w:rPr>
        <w:t>致：浙江求是招标代理有限公司：</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根据贵方为</w:t>
      </w:r>
      <w:r>
        <w:rPr>
          <w:rFonts w:hint="eastAsia" w:ascii="宋体" w:hAnsi="宋体"/>
          <w:bCs/>
          <w:spacing w:val="-6"/>
          <w:sz w:val="24"/>
          <w:highlight w:val="none"/>
          <w:lang w:eastAsia="zh-CN"/>
        </w:rPr>
        <w:t>2023年第一期公款竞争性存放</w:t>
      </w:r>
      <w:r>
        <w:rPr>
          <w:rFonts w:hint="eastAsia" w:ascii="宋体" w:hAnsi="宋体"/>
          <w:spacing w:val="-6"/>
          <w:sz w:val="24"/>
          <w:highlight w:val="none"/>
        </w:rPr>
        <w:t>的招标公告（招标项目编号</w:t>
      </w:r>
      <w:r>
        <w:rPr>
          <w:rFonts w:hint="eastAsia" w:ascii="宋体" w:hAnsi="宋体"/>
          <w:bCs/>
          <w:spacing w:val="-6"/>
          <w:sz w:val="24"/>
          <w:highlight w:val="none"/>
        </w:rPr>
        <w:t>：</w:t>
      </w:r>
      <w:r>
        <w:rPr>
          <w:rFonts w:hint="eastAsia" w:ascii="宋体" w:hAnsi="宋体"/>
          <w:bCs/>
          <w:spacing w:val="-6"/>
          <w:sz w:val="24"/>
          <w:highlight w:val="none"/>
          <w:lang w:eastAsia="zh-CN"/>
        </w:rPr>
        <w:t>QSZB-F(F)-B23138(GK)</w:t>
      </w:r>
      <w:r>
        <w:rPr>
          <w:rFonts w:hint="eastAsia" w:ascii="宋体" w:hAnsi="宋体"/>
          <w:bCs/>
          <w:spacing w:val="-6"/>
          <w:sz w:val="24"/>
          <w:highlight w:val="none"/>
        </w:rPr>
        <w:t xml:space="preserve"> ）</w:t>
      </w:r>
      <w:r>
        <w:rPr>
          <w:rFonts w:hint="eastAsia" w:ascii="宋体" w:hAnsi="宋体"/>
          <w:spacing w:val="-6"/>
          <w:sz w:val="24"/>
          <w:highlight w:val="none"/>
        </w:rPr>
        <w:t>，授权代表</w:t>
      </w:r>
      <w:r>
        <w:rPr>
          <w:rFonts w:hint="eastAsia" w:ascii="宋体" w:hAnsi="宋体"/>
          <w:bCs/>
          <w:spacing w:val="-6"/>
          <w:sz w:val="24"/>
          <w:highlight w:val="none"/>
        </w:rPr>
        <w:t>____________</w:t>
      </w:r>
      <w:r>
        <w:rPr>
          <w:rFonts w:hint="eastAsia" w:ascii="宋体" w:hAnsi="宋体"/>
          <w:spacing w:val="-6"/>
          <w:sz w:val="24"/>
          <w:highlight w:val="none"/>
        </w:rPr>
        <w:t>（全名）经正式授权并代表投标人</w:t>
      </w:r>
      <w:r>
        <w:rPr>
          <w:rFonts w:hint="eastAsia" w:ascii="宋体" w:hAnsi="宋体"/>
          <w:bCs/>
          <w:spacing w:val="-6"/>
          <w:sz w:val="24"/>
          <w:highlight w:val="none"/>
        </w:rPr>
        <w:t>_______________________________</w:t>
      </w:r>
      <w:r>
        <w:rPr>
          <w:rFonts w:hint="eastAsia" w:ascii="宋体" w:hAnsi="宋体"/>
          <w:spacing w:val="-6"/>
          <w:sz w:val="24"/>
          <w:highlight w:val="none"/>
        </w:rPr>
        <w:t>（投标人名称）</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据此函，授权代表宣布同意如下：</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1</w:t>
      </w:r>
      <w:r>
        <w:rPr>
          <w:rFonts w:ascii="宋体" w:hAnsi="宋体"/>
          <w:spacing w:val="-6"/>
          <w:sz w:val="24"/>
          <w:highlight w:val="none"/>
        </w:rPr>
        <w:t>.</w:t>
      </w:r>
      <w:r>
        <w:rPr>
          <w:rFonts w:hint="eastAsia" w:ascii="宋体" w:hAnsi="宋体"/>
          <w:spacing w:val="-6"/>
          <w:sz w:val="24"/>
          <w:highlight w:val="none"/>
        </w:rPr>
        <w:t>投标人已详细审查全部“招标文件”，包括修改文件（如有）以及全部参考资料和有关附件，已经了解我方对于招标文件、招标过程、中标结果有依法进行询问、质疑投诉及相关渠道和要求。</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2</w:t>
      </w:r>
      <w:r>
        <w:rPr>
          <w:rFonts w:ascii="宋体" w:hAnsi="宋体"/>
          <w:spacing w:val="-6"/>
          <w:sz w:val="24"/>
          <w:highlight w:val="none"/>
        </w:rPr>
        <w:t>.</w:t>
      </w:r>
      <w:r>
        <w:rPr>
          <w:rFonts w:hint="eastAsia" w:ascii="宋体" w:hAnsi="宋体"/>
          <w:spacing w:val="-6"/>
          <w:sz w:val="24"/>
          <w:highlight w:val="none"/>
        </w:rPr>
        <w:t>投标人在投标之前已经与贵方进行了充分的沟通，完全理解并接受招标文件的各项规定和要求，对招标文件的合理性、合法性不再有异议。</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3</w:t>
      </w:r>
      <w:r>
        <w:rPr>
          <w:rFonts w:ascii="宋体" w:hAnsi="宋体"/>
          <w:spacing w:val="-6"/>
          <w:sz w:val="24"/>
          <w:highlight w:val="none"/>
        </w:rPr>
        <w:t>.</w:t>
      </w:r>
      <w:r>
        <w:rPr>
          <w:rFonts w:hint="eastAsia" w:ascii="宋体" w:hAnsi="宋体"/>
          <w:spacing w:val="-6"/>
          <w:sz w:val="24"/>
          <w:highlight w:val="none"/>
        </w:rPr>
        <w:t>投标有效期自提交投标文件的截止之日起</w:t>
      </w:r>
      <w:r>
        <w:rPr>
          <w:rFonts w:hint="eastAsia" w:ascii="宋体" w:hAnsi="宋体"/>
          <w:bCs/>
          <w:spacing w:val="-6"/>
          <w:sz w:val="24"/>
          <w:highlight w:val="none"/>
          <w:u w:val="single"/>
        </w:rPr>
        <w:t xml:space="preserve"> 90</w:t>
      </w:r>
      <w:r>
        <w:rPr>
          <w:rFonts w:hint="eastAsia" w:ascii="宋体" w:hAnsi="宋体"/>
          <w:spacing w:val="-6"/>
          <w:sz w:val="24"/>
          <w:highlight w:val="none"/>
        </w:rPr>
        <w:t>天。</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4</w:t>
      </w:r>
      <w:r>
        <w:rPr>
          <w:rFonts w:ascii="宋体" w:hAnsi="宋体"/>
          <w:spacing w:val="-6"/>
          <w:sz w:val="24"/>
          <w:highlight w:val="none"/>
        </w:rPr>
        <w:t>.</w:t>
      </w:r>
      <w:r>
        <w:rPr>
          <w:rFonts w:hint="eastAsia" w:ascii="宋体" w:hAnsi="宋体"/>
          <w:spacing w:val="-6"/>
          <w:sz w:val="24"/>
          <w:highlight w:val="none"/>
        </w:rPr>
        <w:t>如中标，本投标文件至本项目合同履行完毕止均保持有效，本投标人将按“招标文件”及相关法律、法规的规定履行合同责任和义务。</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5</w:t>
      </w:r>
      <w:r>
        <w:rPr>
          <w:rFonts w:ascii="宋体" w:hAnsi="宋体"/>
          <w:spacing w:val="-6"/>
          <w:sz w:val="24"/>
          <w:highlight w:val="none"/>
        </w:rPr>
        <w:t>.</w:t>
      </w:r>
      <w:r>
        <w:rPr>
          <w:rFonts w:hint="eastAsia" w:ascii="宋体" w:hAnsi="宋体"/>
          <w:spacing w:val="-6"/>
          <w:sz w:val="24"/>
          <w:highlight w:val="none"/>
        </w:rPr>
        <w:t>投标人同意按照贵方要求提供与投标有关的一切数据或资料。</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6</w:t>
      </w:r>
      <w:r>
        <w:rPr>
          <w:rFonts w:ascii="宋体" w:hAnsi="宋体"/>
          <w:spacing w:val="-6"/>
          <w:sz w:val="24"/>
          <w:highlight w:val="none"/>
        </w:rPr>
        <w:t>.</w:t>
      </w:r>
      <w:r>
        <w:rPr>
          <w:rFonts w:hint="eastAsia" w:ascii="宋体" w:hAnsi="宋体"/>
          <w:spacing w:val="-6"/>
          <w:sz w:val="24"/>
          <w:highlight w:val="none"/>
        </w:rPr>
        <w:t>与本投标有关的一切正式往来信函请寄：</w:t>
      </w:r>
    </w:p>
    <w:p>
      <w:pPr>
        <w:spacing w:line="360" w:lineRule="auto"/>
        <w:rPr>
          <w:rFonts w:ascii="宋体" w:hAnsi="宋体"/>
          <w:spacing w:val="-6"/>
          <w:sz w:val="24"/>
          <w:highlight w:val="none"/>
        </w:rPr>
      </w:pPr>
      <w:r>
        <w:rPr>
          <w:rFonts w:hint="eastAsia" w:ascii="宋体" w:hAnsi="宋体"/>
          <w:spacing w:val="-6"/>
          <w:sz w:val="24"/>
          <w:highlight w:val="none"/>
        </w:rPr>
        <w:t>地址：                                       邮编：</w:t>
      </w:r>
    </w:p>
    <w:p>
      <w:pPr>
        <w:spacing w:line="360" w:lineRule="auto"/>
        <w:rPr>
          <w:rFonts w:ascii="宋体" w:hAnsi="宋体"/>
          <w:spacing w:val="-6"/>
          <w:sz w:val="24"/>
          <w:highlight w:val="none"/>
          <w:u w:val="single"/>
        </w:rPr>
      </w:pPr>
      <w:r>
        <w:rPr>
          <w:rFonts w:hint="eastAsia" w:ascii="宋体" w:hAnsi="宋体"/>
          <w:spacing w:val="-6"/>
          <w:sz w:val="24"/>
          <w:highlight w:val="none"/>
        </w:rPr>
        <w:t xml:space="preserve">电话：                                       传真：                         </w:t>
      </w:r>
    </w:p>
    <w:p>
      <w:pPr>
        <w:spacing w:line="360" w:lineRule="auto"/>
        <w:rPr>
          <w:rFonts w:ascii="宋体" w:hAnsi="宋体"/>
          <w:spacing w:val="-6"/>
          <w:sz w:val="24"/>
          <w:highlight w:val="none"/>
        </w:rPr>
      </w:pPr>
      <w:r>
        <w:rPr>
          <w:rFonts w:hint="eastAsia" w:ascii="宋体" w:hAnsi="宋体"/>
          <w:spacing w:val="-6"/>
          <w:sz w:val="24"/>
          <w:highlight w:val="none"/>
        </w:rPr>
        <w:t xml:space="preserve">投标人代表姓名：                             职务：                        </w:t>
      </w:r>
    </w:p>
    <w:p>
      <w:pPr>
        <w:spacing w:line="360" w:lineRule="auto"/>
        <w:rPr>
          <w:rFonts w:ascii="宋体" w:hAnsi="宋体"/>
          <w:spacing w:val="-6"/>
          <w:sz w:val="24"/>
          <w:highlight w:val="none"/>
        </w:rPr>
      </w:pPr>
      <w:r>
        <w:rPr>
          <w:rFonts w:hint="eastAsia" w:ascii="宋体" w:hAnsi="宋体"/>
          <w:spacing w:val="-6"/>
          <w:sz w:val="24"/>
          <w:highlight w:val="none"/>
        </w:rPr>
        <w:t>开户银行：</w:t>
      </w:r>
    </w:p>
    <w:p>
      <w:pPr>
        <w:spacing w:line="360" w:lineRule="auto"/>
        <w:rPr>
          <w:rFonts w:ascii="宋体" w:hAnsi="宋体"/>
          <w:spacing w:val="-6"/>
          <w:sz w:val="24"/>
          <w:highlight w:val="none"/>
        </w:rPr>
      </w:pPr>
      <w:r>
        <w:rPr>
          <w:rFonts w:hint="eastAsia" w:ascii="宋体" w:hAnsi="宋体"/>
          <w:spacing w:val="-6"/>
          <w:sz w:val="24"/>
          <w:highlight w:val="none"/>
        </w:rPr>
        <w:t>银行帐号：</w:t>
      </w:r>
    </w:p>
    <w:p>
      <w:pPr>
        <w:spacing w:line="360" w:lineRule="auto"/>
        <w:rPr>
          <w:rFonts w:ascii="宋体" w:hAnsi="宋体"/>
          <w:spacing w:val="-6"/>
          <w:sz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spacing w:val="-6"/>
          <w:sz w:val="24"/>
          <w:highlight w:val="none"/>
        </w:rPr>
      </w:pPr>
      <w:r>
        <w:rPr>
          <w:rFonts w:hint="eastAsia" w:ascii="宋体" w:hAnsi="宋体"/>
          <w:spacing w:val="-6"/>
          <w:sz w:val="24"/>
          <w:highlight w:val="none"/>
        </w:rPr>
        <w:t>投标人代表签字</w:t>
      </w:r>
      <w:r>
        <w:rPr>
          <w:rFonts w:hint="eastAsia" w:ascii="宋体" w:hAnsi="宋体"/>
          <w:bCs/>
          <w:spacing w:val="-6"/>
          <w:sz w:val="24"/>
          <w:highlight w:val="none"/>
        </w:rPr>
        <w:t>：</w:t>
      </w:r>
    </w:p>
    <w:p>
      <w:pPr>
        <w:spacing w:line="360" w:lineRule="auto"/>
        <w:rPr>
          <w:rFonts w:ascii="宋体" w:hAnsi="宋体"/>
          <w:spacing w:val="-6"/>
          <w:sz w:val="24"/>
          <w:highlight w:val="none"/>
        </w:rPr>
      </w:pPr>
      <w:r>
        <w:rPr>
          <w:rFonts w:hint="eastAsia" w:ascii="宋体" w:hAnsi="宋体"/>
          <w:bCs/>
          <w:spacing w:val="-6"/>
          <w:sz w:val="24"/>
          <w:highlight w:val="none"/>
        </w:rPr>
        <w:t>日期：  年  月  日</w:t>
      </w:r>
    </w:p>
    <w:p>
      <w:pPr>
        <w:snapToGrid w:val="0"/>
        <w:spacing w:line="360" w:lineRule="auto"/>
        <w:jc w:val="center"/>
        <w:outlineLvl w:val="2"/>
        <w:rPr>
          <w:rFonts w:ascii="宋体" w:hAnsi="宋体"/>
          <w:b/>
          <w:spacing w:val="-6"/>
          <w:sz w:val="24"/>
          <w:highlight w:val="none"/>
        </w:rPr>
      </w:pPr>
      <w:r>
        <w:rPr>
          <w:rFonts w:ascii="宋体" w:hAnsi="宋体"/>
          <w:b/>
          <w:spacing w:val="-6"/>
          <w:sz w:val="24"/>
          <w:highlight w:val="none"/>
        </w:rPr>
        <w:br w:type="page"/>
      </w:r>
      <w:r>
        <w:rPr>
          <w:rFonts w:ascii="宋体" w:hAnsi="宋体"/>
          <w:b/>
          <w:spacing w:val="-6"/>
          <w:sz w:val="24"/>
          <w:highlight w:val="none"/>
        </w:rPr>
        <w:t>企业负责人资格证明书</w:t>
      </w:r>
    </w:p>
    <w:p>
      <w:pPr>
        <w:spacing w:line="360" w:lineRule="auto"/>
        <w:rPr>
          <w:rFonts w:ascii="宋体" w:hAnsi="宋体"/>
          <w:bCs/>
          <w:spacing w:val="-6"/>
          <w:sz w:val="24"/>
          <w:highlight w:val="none"/>
        </w:rPr>
      </w:pPr>
      <w:r>
        <w:rPr>
          <w:rFonts w:hint="eastAsia" w:ascii="宋体" w:hAnsi="宋体"/>
          <w:bCs/>
          <w:spacing w:val="-6"/>
          <w:sz w:val="24"/>
          <w:highlight w:val="none"/>
        </w:rPr>
        <w:t>致：</w:t>
      </w:r>
      <w:r>
        <w:rPr>
          <w:rFonts w:hint="eastAsia" w:ascii="宋体" w:hAnsi="宋体"/>
          <w:bCs/>
          <w:spacing w:val="-6"/>
          <w:sz w:val="24"/>
          <w:highlight w:val="none"/>
          <w:lang w:eastAsia="zh-CN"/>
        </w:rPr>
        <w:t>浙江金融职业学院</w:t>
      </w:r>
      <w:r>
        <w:rPr>
          <w:rFonts w:hint="eastAsia" w:ascii="宋体" w:hAnsi="宋体"/>
          <w:bCs/>
          <w:spacing w:val="-6"/>
          <w:sz w:val="24"/>
          <w:highlight w:val="none"/>
        </w:rPr>
        <w:t>、浙江求是招标代理有限公司：</w:t>
      </w:r>
    </w:p>
    <w:p>
      <w:pPr>
        <w:spacing w:line="360" w:lineRule="auto"/>
        <w:ind w:firstLine="456" w:firstLineChars="200"/>
        <w:rPr>
          <w:rFonts w:ascii="宋体" w:hAnsi="宋体"/>
          <w:bCs/>
          <w:spacing w:val="-6"/>
          <w:sz w:val="24"/>
          <w:highlight w:val="none"/>
        </w:rPr>
      </w:pPr>
      <w:r>
        <w:rPr>
          <w:rFonts w:hint="eastAsia" w:ascii="宋体" w:hAnsi="宋体"/>
          <w:bCs/>
          <w:spacing w:val="-6"/>
          <w:sz w:val="24"/>
          <w:highlight w:val="none"/>
        </w:rPr>
        <w:t>我</w:t>
      </w:r>
      <w:r>
        <w:rPr>
          <w:rFonts w:hint="eastAsia" w:ascii="宋体" w:hAnsi="宋体"/>
          <w:bCs/>
          <w:spacing w:val="-6"/>
          <w:sz w:val="24"/>
          <w:highlight w:val="none"/>
          <w:u w:val="single"/>
        </w:rPr>
        <w:t xml:space="preserve">                </w:t>
      </w:r>
      <w:r>
        <w:rPr>
          <w:rFonts w:ascii="宋体" w:hAnsi="宋体"/>
          <w:bCs/>
          <w:spacing w:val="-6"/>
          <w:sz w:val="24"/>
          <w:highlight w:val="none"/>
          <w:u w:val="single"/>
        </w:rPr>
        <w:t>（姓名）</w:t>
      </w:r>
      <w:r>
        <w:rPr>
          <w:rFonts w:ascii="宋体" w:hAnsi="宋体"/>
          <w:bCs/>
          <w:spacing w:val="-6"/>
          <w:sz w:val="24"/>
          <w:highlight w:val="none"/>
        </w:rPr>
        <w:t>系</w:t>
      </w:r>
      <w:r>
        <w:rPr>
          <w:rFonts w:hint="eastAsia" w:ascii="宋体" w:hAnsi="宋体"/>
          <w:bCs/>
          <w:spacing w:val="-6"/>
          <w:sz w:val="24"/>
          <w:highlight w:val="none"/>
          <w:u w:val="single"/>
        </w:rPr>
        <w:t xml:space="preserve">                   （投标人名称）</w:t>
      </w:r>
      <w:r>
        <w:rPr>
          <w:rFonts w:ascii="宋体" w:hAnsi="宋体"/>
          <w:bCs/>
          <w:spacing w:val="-6"/>
          <w:sz w:val="24"/>
          <w:highlight w:val="none"/>
        </w:rPr>
        <w:t>的企业负责人，身份证</w:t>
      </w:r>
      <w:r>
        <w:rPr>
          <w:rFonts w:hint="eastAsia" w:ascii="宋体" w:hAnsi="宋体"/>
          <w:bCs/>
          <w:spacing w:val="-6"/>
          <w:sz w:val="24"/>
          <w:highlight w:val="none"/>
        </w:rPr>
        <w:t>号码：</w:t>
      </w:r>
      <w:r>
        <w:rPr>
          <w:rFonts w:hint="eastAsia" w:ascii="宋体" w:hAnsi="宋体"/>
          <w:bCs/>
          <w:spacing w:val="-6"/>
          <w:sz w:val="24"/>
          <w:highlight w:val="none"/>
          <w:u w:val="single"/>
        </w:rPr>
        <w:t xml:space="preserve">                                           </w:t>
      </w:r>
      <w:r>
        <w:rPr>
          <w:rFonts w:ascii="宋体" w:hAnsi="宋体"/>
          <w:bCs/>
          <w:spacing w:val="-6"/>
          <w:sz w:val="24"/>
          <w:highlight w:val="none"/>
        </w:rPr>
        <w:t>。</w:t>
      </w:r>
    </w:p>
    <w:p>
      <w:pPr>
        <w:spacing w:line="360" w:lineRule="auto"/>
        <w:ind w:firstLine="456" w:firstLineChars="200"/>
        <w:rPr>
          <w:rFonts w:ascii="宋体" w:hAnsi="宋体"/>
          <w:bCs/>
          <w:spacing w:val="-6"/>
          <w:sz w:val="24"/>
          <w:highlight w:val="none"/>
        </w:rPr>
      </w:pPr>
      <w:r>
        <w:rPr>
          <w:rFonts w:ascii="宋体" w:hAnsi="宋体"/>
          <w:bCs/>
          <w:spacing w:val="-6"/>
          <w:sz w:val="24"/>
          <w:highlight w:val="none"/>
        </w:rPr>
        <w:t>特此证明。</w:t>
      </w:r>
    </w:p>
    <w:p>
      <w:pPr>
        <w:spacing w:line="360" w:lineRule="auto"/>
        <w:rPr>
          <w:rFonts w:ascii="宋体" w:hAnsi="宋体"/>
          <w:bCs/>
          <w:spacing w:val="-6"/>
          <w:sz w:val="24"/>
          <w:highlight w:val="none"/>
        </w:rPr>
      </w:pPr>
    </w:p>
    <w:tbl>
      <w:tblPr>
        <w:tblStyle w:val="24"/>
        <w:tblW w:w="94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0" w:hRule="atLeast"/>
        </w:trPr>
        <w:tc>
          <w:tcPr>
            <w:tcW w:w="9498" w:type="dxa"/>
          </w:tcPr>
          <w:p>
            <w:pPr>
              <w:keepNext w:val="0"/>
              <w:keepLines w:val="0"/>
              <w:suppressLineNumbers w:val="0"/>
              <w:spacing w:before="0" w:beforeAutospacing="0" w:after="0" w:afterAutospacing="0" w:line="360" w:lineRule="auto"/>
              <w:ind w:left="0" w:right="0"/>
              <w:rPr>
                <w:rFonts w:hint="default" w:ascii="宋体" w:hAnsi="宋体"/>
                <w:sz w:val="24"/>
                <w:highlight w:val="none"/>
              </w:rPr>
            </w:pPr>
            <w:r>
              <w:rPr>
                <w:rFonts w:hint="eastAsia" w:ascii="新宋体" w:hAnsi="新宋体" w:eastAsia="新宋体"/>
                <w:sz w:val="24"/>
                <w:highlight w:val="none"/>
              </w:rPr>
              <w:t>企业负责人</w:t>
            </w:r>
            <w:r>
              <w:rPr>
                <w:rFonts w:hint="eastAsia" w:ascii="宋体" w:hAnsi="宋体"/>
                <w:sz w:val="24"/>
                <w:highlight w:val="none"/>
              </w:rPr>
              <w:t>身份证：</w:t>
            </w: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r>
              <w:rPr>
                <w:rFonts w:hint="eastAsia" w:ascii="宋体" w:hAnsi="宋体"/>
                <w:sz w:val="24"/>
                <w:highlight w:val="none"/>
              </w:rPr>
              <w:t>扫描件粘贴处</w:t>
            </w:r>
          </w:p>
          <w:p>
            <w:pPr>
              <w:keepNext w:val="0"/>
              <w:keepLines w:val="0"/>
              <w:suppressLineNumbers w:val="0"/>
              <w:spacing w:before="0" w:beforeAutospacing="0" w:after="0" w:afterAutospacing="0" w:line="360" w:lineRule="auto"/>
              <w:ind w:left="0" w:right="0"/>
              <w:rPr>
                <w:rFonts w:hint="default" w:ascii="宋体" w:hAnsi="宋体"/>
                <w:bCs/>
                <w:spacing w:val="-6"/>
                <w:sz w:val="24"/>
                <w:highlight w:val="none"/>
              </w:rPr>
            </w:pPr>
          </w:p>
        </w:tc>
      </w:tr>
    </w:tbl>
    <w:p>
      <w:pPr>
        <w:spacing w:line="360" w:lineRule="auto"/>
        <w:rPr>
          <w:rFonts w:ascii="宋体" w:hAnsi="宋体"/>
          <w:bCs/>
          <w:spacing w:val="-6"/>
          <w:sz w:val="24"/>
          <w:highlight w:val="none"/>
        </w:rPr>
      </w:pPr>
    </w:p>
    <w:p>
      <w:pPr>
        <w:spacing w:line="360" w:lineRule="auto"/>
        <w:rPr>
          <w:rFonts w:ascii="宋体" w:hAnsi="宋体"/>
          <w:b/>
          <w:bCs/>
          <w:spacing w:val="-6"/>
          <w:sz w:val="24"/>
          <w:highlight w:val="none"/>
        </w:rPr>
      </w:pPr>
    </w:p>
    <w:p>
      <w:pPr>
        <w:spacing w:line="360" w:lineRule="auto"/>
        <w:rPr>
          <w:rFonts w:ascii="宋体" w:hAnsi="宋体"/>
          <w:b/>
          <w:bCs/>
          <w:spacing w:val="-6"/>
          <w:sz w:val="24"/>
          <w:highlight w:val="none"/>
        </w:rPr>
      </w:pPr>
    </w:p>
    <w:p>
      <w:pPr>
        <w:spacing w:line="360" w:lineRule="auto"/>
        <w:rPr>
          <w:rFonts w:ascii="宋体" w:hAnsi="宋体"/>
          <w:b/>
          <w:bCs/>
          <w:spacing w:val="-6"/>
          <w:sz w:val="24"/>
          <w:highlight w:val="none"/>
        </w:rPr>
      </w:pPr>
    </w:p>
    <w:p>
      <w:pPr>
        <w:spacing w:line="360" w:lineRule="auto"/>
        <w:rPr>
          <w:rFonts w:ascii="宋体" w:hAnsi="宋体"/>
          <w:b/>
          <w:bCs/>
          <w:spacing w:val="-6"/>
          <w:sz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spacing w:val="-6"/>
          <w:sz w:val="24"/>
          <w:highlight w:val="none"/>
        </w:rPr>
      </w:pPr>
      <w:r>
        <w:rPr>
          <w:rFonts w:hint="eastAsia" w:ascii="宋体" w:hAnsi="宋体"/>
          <w:bCs/>
          <w:spacing w:val="-6"/>
          <w:sz w:val="24"/>
          <w:highlight w:val="none"/>
        </w:rPr>
        <w:t>日期：  年  月  日</w:t>
      </w:r>
    </w:p>
    <w:p>
      <w:pPr>
        <w:snapToGrid w:val="0"/>
        <w:spacing w:line="360" w:lineRule="auto"/>
        <w:jc w:val="center"/>
        <w:outlineLvl w:val="2"/>
        <w:rPr>
          <w:rFonts w:ascii="宋体" w:hAnsi="宋体"/>
          <w:b/>
          <w:spacing w:val="-6"/>
          <w:sz w:val="24"/>
          <w:highlight w:val="none"/>
        </w:rPr>
      </w:pPr>
      <w:r>
        <w:rPr>
          <w:rFonts w:ascii="宋体" w:hAnsi="宋体"/>
          <w:b/>
          <w:spacing w:val="-6"/>
          <w:sz w:val="24"/>
          <w:highlight w:val="none"/>
        </w:rPr>
        <w:br w:type="page"/>
      </w:r>
      <w:r>
        <w:rPr>
          <w:rFonts w:hint="eastAsia" w:ascii="宋体" w:hAnsi="宋体"/>
          <w:b/>
          <w:spacing w:val="-6"/>
          <w:sz w:val="24"/>
          <w:highlight w:val="none"/>
        </w:rPr>
        <w:t>企业负责人授权委托书</w:t>
      </w:r>
    </w:p>
    <w:p>
      <w:pPr>
        <w:spacing w:line="360" w:lineRule="auto"/>
        <w:rPr>
          <w:rFonts w:ascii="宋体" w:hAnsi="宋体"/>
          <w:b/>
          <w:bCs/>
          <w:spacing w:val="-6"/>
          <w:sz w:val="24"/>
          <w:highlight w:val="none"/>
        </w:rPr>
      </w:pPr>
      <w:r>
        <w:rPr>
          <w:rFonts w:hint="eastAsia" w:ascii="宋体" w:hAnsi="宋体"/>
          <w:bCs/>
          <w:spacing w:val="-6"/>
          <w:sz w:val="24"/>
          <w:highlight w:val="none"/>
        </w:rPr>
        <w:t>致：</w:t>
      </w:r>
      <w:r>
        <w:rPr>
          <w:rFonts w:hint="eastAsia" w:ascii="宋体" w:hAnsi="宋体"/>
          <w:bCs/>
          <w:spacing w:val="-6"/>
          <w:sz w:val="24"/>
          <w:highlight w:val="none"/>
          <w:lang w:eastAsia="zh-CN"/>
        </w:rPr>
        <w:t>浙江金融职业学院</w:t>
      </w:r>
      <w:r>
        <w:rPr>
          <w:rFonts w:hint="eastAsia" w:ascii="宋体" w:hAnsi="宋体"/>
          <w:bCs/>
          <w:spacing w:val="-6"/>
          <w:sz w:val="24"/>
          <w:highlight w:val="none"/>
        </w:rPr>
        <w:t>、浙江求是招标代理有限公司</w:t>
      </w:r>
      <w:r>
        <w:rPr>
          <w:rFonts w:hint="eastAsia" w:ascii="宋体" w:hAnsi="宋体"/>
          <w:spacing w:val="-6"/>
          <w:sz w:val="24"/>
          <w:highlight w:val="none"/>
        </w:rPr>
        <w:t>：</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我</w:t>
      </w:r>
      <w:r>
        <w:rPr>
          <w:rFonts w:hint="eastAsia" w:ascii="宋体" w:hAnsi="宋体"/>
          <w:spacing w:val="-6"/>
          <w:sz w:val="24"/>
          <w:highlight w:val="none"/>
          <w:u w:val="single"/>
        </w:rPr>
        <w:t xml:space="preserve">         </w:t>
      </w:r>
      <w:r>
        <w:rPr>
          <w:rFonts w:hint="eastAsia" w:ascii="宋体" w:hAnsi="宋体"/>
          <w:spacing w:val="-6"/>
          <w:sz w:val="24"/>
          <w:highlight w:val="none"/>
        </w:rPr>
        <w:t>（姓名）系</w:t>
      </w:r>
      <w:r>
        <w:rPr>
          <w:rFonts w:hint="eastAsia" w:ascii="宋体" w:hAnsi="宋体"/>
          <w:spacing w:val="-6"/>
          <w:sz w:val="24"/>
          <w:highlight w:val="none"/>
          <w:u w:val="single"/>
        </w:rPr>
        <w:t xml:space="preserve">                        </w:t>
      </w:r>
      <w:r>
        <w:rPr>
          <w:rFonts w:hint="eastAsia" w:ascii="宋体" w:hAnsi="宋体"/>
          <w:spacing w:val="-6"/>
          <w:sz w:val="24"/>
          <w:highlight w:val="none"/>
        </w:rPr>
        <w:t xml:space="preserve"> （投标人名称）的企业负责人，现授权委托本单位在职职工：</w:t>
      </w:r>
      <w:r>
        <w:rPr>
          <w:rFonts w:hint="eastAsia" w:ascii="宋体" w:hAnsi="宋体"/>
          <w:spacing w:val="-6"/>
          <w:sz w:val="24"/>
          <w:highlight w:val="none"/>
          <w:u w:val="single"/>
        </w:rPr>
        <w:t xml:space="preserve">        </w:t>
      </w:r>
      <w:r>
        <w:rPr>
          <w:rFonts w:hint="eastAsia" w:ascii="宋体" w:hAnsi="宋体"/>
          <w:spacing w:val="-6"/>
          <w:sz w:val="24"/>
          <w:highlight w:val="none"/>
        </w:rPr>
        <w:t>（姓名），身份证号码：</w:t>
      </w:r>
      <w:r>
        <w:rPr>
          <w:rFonts w:hint="eastAsia" w:ascii="宋体" w:hAnsi="宋体"/>
          <w:spacing w:val="-6"/>
          <w:sz w:val="24"/>
          <w:highlight w:val="none"/>
          <w:u w:val="single"/>
        </w:rPr>
        <w:t xml:space="preserve">                          </w:t>
      </w:r>
      <w:r>
        <w:rPr>
          <w:rFonts w:hint="eastAsia" w:ascii="宋体" w:hAnsi="宋体"/>
          <w:spacing w:val="-6"/>
          <w:sz w:val="24"/>
          <w:highlight w:val="none"/>
        </w:rPr>
        <w:t>以我方的名义参加</w:t>
      </w:r>
      <w:r>
        <w:rPr>
          <w:rFonts w:hint="eastAsia" w:ascii="宋体" w:hAnsi="宋体"/>
          <w:bCs/>
          <w:spacing w:val="-6"/>
          <w:sz w:val="24"/>
          <w:highlight w:val="none"/>
          <w:u w:val="single"/>
          <w:lang w:eastAsia="zh-CN"/>
        </w:rPr>
        <w:t>2023年第一期公款竞争性存放</w:t>
      </w:r>
      <w:r>
        <w:rPr>
          <w:rFonts w:hint="eastAsia" w:ascii="宋体" w:hAnsi="宋体"/>
          <w:bCs/>
          <w:spacing w:val="-6"/>
          <w:sz w:val="24"/>
          <w:highlight w:val="none"/>
        </w:rPr>
        <w:t>项目</w:t>
      </w:r>
      <w:r>
        <w:rPr>
          <w:rFonts w:hint="eastAsia" w:ascii="宋体" w:hAnsi="宋体"/>
          <w:spacing w:val="-6"/>
          <w:sz w:val="24"/>
          <w:highlight w:val="none"/>
        </w:rPr>
        <w:t>的投标活动，并代表我方全权办理针对上述项目的投标、开标、评标、签约等具体事务和签署相关文件。</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我方对被授权人的签名负全部责任。</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在撤销授权的书面通知以前，本授权书一直有效。被授权人在授权书有效期内签署的所有文件不因授权的撤销而失效。</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被授权人无转委托权，特此委托。</w:t>
      </w:r>
    </w:p>
    <w:p>
      <w:pPr>
        <w:spacing w:line="360" w:lineRule="auto"/>
        <w:ind w:firstLine="424" w:firstLineChars="186"/>
        <w:rPr>
          <w:rFonts w:ascii="宋体" w:hAnsi="宋体"/>
          <w:spacing w:val="-6"/>
          <w:sz w:val="24"/>
          <w:highlight w:val="none"/>
        </w:rPr>
      </w:pPr>
    </w:p>
    <w:p>
      <w:pPr>
        <w:spacing w:line="360" w:lineRule="auto"/>
        <w:ind w:firstLine="424" w:firstLineChars="186"/>
        <w:rPr>
          <w:rFonts w:ascii="宋体" w:hAnsi="宋体"/>
          <w:spacing w:val="-6"/>
          <w:sz w:val="24"/>
          <w:highlight w:val="none"/>
          <w:u w:val="single"/>
        </w:rPr>
      </w:pPr>
      <w:r>
        <w:rPr>
          <w:rFonts w:hint="eastAsia" w:ascii="宋体" w:hAnsi="宋体"/>
          <w:spacing w:val="-6"/>
          <w:sz w:val="24"/>
          <w:highlight w:val="none"/>
        </w:rPr>
        <w:t>企业负责人（签字或盖章）：_________________________</w:t>
      </w:r>
    </w:p>
    <w:p>
      <w:pPr>
        <w:spacing w:line="360" w:lineRule="auto"/>
        <w:ind w:firstLine="424" w:firstLineChars="186"/>
        <w:rPr>
          <w:rFonts w:ascii="宋体" w:hAnsi="宋体"/>
          <w:spacing w:val="-6"/>
          <w:sz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bCs/>
          <w:spacing w:val="-6"/>
          <w:sz w:val="24"/>
          <w:highlight w:val="none"/>
        </w:rPr>
      </w:pPr>
      <w:r>
        <w:rPr>
          <w:rFonts w:hint="eastAsia" w:ascii="宋体" w:hAnsi="宋体"/>
          <w:bCs/>
          <w:spacing w:val="-6"/>
          <w:sz w:val="24"/>
          <w:highlight w:val="none"/>
        </w:rPr>
        <w:t>日期：  年  月  日</w:t>
      </w:r>
    </w:p>
    <w:p>
      <w:pPr>
        <w:spacing w:line="360" w:lineRule="auto"/>
        <w:rPr>
          <w:rFonts w:ascii="宋体" w:hAnsi="宋体"/>
          <w:spacing w:val="-6"/>
          <w:sz w:val="24"/>
          <w:highlight w:val="none"/>
        </w:rPr>
      </w:pPr>
    </w:p>
    <w:tbl>
      <w:tblPr>
        <w:tblStyle w:val="24"/>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6" w:hRule="atLeast"/>
        </w:trPr>
        <w:tc>
          <w:tcPr>
            <w:tcW w:w="9639" w:type="dxa"/>
          </w:tcPr>
          <w:p>
            <w:pPr>
              <w:keepNext w:val="0"/>
              <w:keepLines w:val="0"/>
              <w:suppressLineNumbers w:val="0"/>
              <w:spacing w:before="0" w:beforeAutospacing="0" w:after="0" w:afterAutospacing="0" w:line="360" w:lineRule="auto"/>
              <w:ind w:left="0" w:right="0"/>
              <w:rPr>
                <w:rFonts w:hint="default" w:ascii="宋体" w:hAnsi="宋体"/>
                <w:sz w:val="24"/>
                <w:highlight w:val="none"/>
              </w:rPr>
            </w:pPr>
            <w:r>
              <w:rPr>
                <w:rFonts w:hint="eastAsia" w:ascii="新宋体" w:hAnsi="新宋体" w:eastAsia="新宋体"/>
                <w:sz w:val="24"/>
                <w:highlight w:val="none"/>
              </w:rPr>
              <w:t>授权代表</w:t>
            </w:r>
            <w:r>
              <w:rPr>
                <w:rFonts w:hint="eastAsia" w:ascii="宋体" w:hAnsi="宋体"/>
                <w:sz w:val="24"/>
                <w:highlight w:val="none"/>
              </w:rPr>
              <w:t>身份证：</w:t>
            </w: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r>
              <w:rPr>
                <w:rFonts w:hint="eastAsia" w:ascii="宋体" w:hAnsi="宋体"/>
                <w:sz w:val="24"/>
                <w:highlight w:val="none"/>
              </w:rPr>
              <w:t>扫描件粘贴处</w:t>
            </w:r>
          </w:p>
          <w:p>
            <w:pPr>
              <w:keepNext w:val="0"/>
              <w:keepLines w:val="0"/>
              <w:suppressLineNumbers w:val="0"/>
              <w:spacing w:before="0" w:beforeAutospacing="0" w:after="0" w:afterAutospacing="0" w:line="360" w:lineRule="auto"/>
              <w:ind w:left="0" w:right="0"/>
              <w:rPr>
                <w:rFonts w:hint="default" w:ascii="宋体" w:hAnsi="宋体"/>
                <w:spacing w:val="-6"/>
                <w:sz w:val="24"/>
                <w:highlight w:val="none"/>
              </w:rPr>
            </w:pPr>
          </w:p>
        </w:tc>
      </w:tr>
    </w:tbl>
    <w:p>
      <w:pPr>
        <w:pStyle w:val="12"/>
        <w:spacing w:beforeLines="0" w:afterLines="0" w:line="360" w:lineRule="auto"/>
        <w:rPr>
          <w:rFonts w:hAnsi="宋体"/>
          <w:b/>
          <w:spacing w:val="-6"/>
          <w:highlight w:val="none"/>
        </w:rPr>
      </w:pPr>
    </w:p>
    <w:p>
      <w:pPr>
        <w:pStyle w:val="12"/>
        <w:spacing w:beforeLines="0" w:afterLines="0" w:line="360" w:lineRule="auto"/>
        <w:rPr>
          <w:rFonts w:hAnsi="宋体"/>
          <w:b/>
          <w:spacing w:val="-6"/>
          <w:highlight w:val="none"/>
        </w:rPr>
      </w:pPr>
      <w:r>
        <w:rPr>
          <w:rFonts w:hint="eastAsia" w:hAnsi="宋体"/>
          <w:b/>
          <w:spacing w:val="-6"/>
          <w:highlight w:val="none"/>
        </w:rPr>
        <w:t>说明：</w:t>
      </w:r>
    </w:p>
    <w:p>
      <w:pPr>
        <w:pStyle w:val="12"/>
        <w:spacing w:beforeLines="0" w:afterLines="0" w:line="360" w:lineRule="auto"/>
        <w:rPr>
          <w:rFonts w:hAnsi="宋体"/>
          <w:b/>
          <w:spacing w:val="-6"/>
          <w:highlight w:val="none"/>
        </w:rPr>
      </w:pPr>
      <w:r>
        <w:rPr>
          <w:rFonts w:hint="eastAsia" w:hAnsi="宋体"/>
          <w:b/>
          <w:spacing w:val="-6"/>
          <w:highlight w:val="none"/>
        </w:rPr>
        <w:t>1</w:t>
      </w:r>
      <w:r>
        <w:rPr>
          <w:rFonts w:hAnsi="宋体"/>
          <w:b/>
          <w:spacing w:val="-6"/>
          <w:highlight w:val="none"/>
        </w:rPr>
        <w:t>.</w:t>
      </w:r>
      <w:r>
        <w:rPr>
          <w:rFonts w:hint="eastAsia" w:hAnsi="宋体"/>
          <w:b/>
          <w:spacing w:val="-6"/>
          <w:highlight w:val="none"/>
        </w:rPr>
        <w:t>投标人的企业负责人参加投标，须在投标文件中提供：企业负责人资格证明书；</w:t>
      </w:r>
    </w:p>
    <w:p>
      <w:pPr>
        <w:pStyle w:val="12"/>
        <w:spacing w:beforeLines="0" w:afterLines="0" w:line="360" w:lineRule="auto"/>
        <w:rPr>
          <w:rFonts w:hAnsi="宋体"/>
          <w:b/>
          <w:spacing w:val="-6"/>
          <w:highlight w:val="none"/>
        </w:rPr>
      </w:pPr>
      <w:r>
        <w:rPr>
          <w:rFonts w:hint="eastAsia" w:hAnsi="宋体"/>
          <w:b/>
          <w:spacing w:val="-6"/>
          <w:highlight w:val="none"/>
        </w:rPr>
        <w:t>2</w:t>
      </w:r>
      <w:r>
        <w:rPr>
          <w:rFonts w:hAnsi="宋体"/>
          <w:b/>
          <w:spacing w:val="-6"/>
          <w:highlight w:val="none"/>
        </w:rPr>
        <w:t>.</w:t>
      </w:r>
      <w:r>
        <w:rPr>
          <w:rFonts w:hint="eastAsia" w:hAnsi="宋体"/>
          <w:b/>
          <w:spacing w:val="-6"/>
          <w:highlight w:val="none"/>
        </w:rPr>
        <w:t>投标人的企业负责人委托授权代表参加投标，须在投标文件中提供：企业负责人资格证明书和企业负责人授权委托书。</w:t>
      </w:r>
    </w:p>
    <w:p>
      <w:pPr>
        <w:snapToGrid w:val="0"/>
        <w:spacing w:line="360" w:lineRule="auto"/>
        <w:jc w:val="center"/>
        <w:outlineLvl w:val="2"/>
        <w:rPr>
          <w:rFonts w:ascii="宋体" w:hAnsi="宋体"/>
          <w:b/>
          <w:spacing w:val="-6"/>
          <w:sz w:val="24"/>
          <w:highlight w:val="none"/>
        </w:rPr>
      </w:pPr>
      <w:r>
        <w:rPr>
          <w:rFonts w:ascii="宋体" w:hAnsi="宋体"/>
          <w:b/>
          <w:spacing w:val="-6"/>
          <w:sz w:val="24"/>
          <w:highlight w:val="none"/>
        </w:rPr>
        <w:br w:type="page"/>
      </w:r>
      <w:r>
        <w:rPr>
          <w:rFonts w:hint="eastAsia" w:ascii="宋体" w:hAnsi="宋体"/>
          <w:b/>
          <w:spacing w:val="-6"/>
          <w:sz w:val="24"/>
          <w:highlight w:val="none"/>
        </w:rPr>
        <w:t>投标声明书</w:t>
      </w:r>
    </w:p>
    <w:p>
      <w:pPr>
        <w:spacing w:line="360" w:lineRule="auto"/>
        <w:rPr>
          <w:rFonts w:ascii="宋体" w:hAnsi="宋体"/>
          <w:spacing w:val="-6"/>
          <w:sz w:val="24"/>
          <w:highlight w:val="none"/>
        </w:rPr>
      </w:pPr>
      <w:r>
        <w:rPr>
          <w:rFonts w:hint="eastAsia" w:ascii="宋体" w:hAnsi="宋体"/>
          <w:spacing w:val="-6"/>
          <w:sz w:val="24"/>
          <w:highlight w:val="none"/>
        </w:rPr>
        <w:t>致：浙江求是招标代理有限公司：</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（投标人名称）</w:t>
      </w:r>
      <w:r>
        <w:rPr>
          <w:rFonts w:hint="eastAsia" w:ascii="宋体" w:hAnsi="宋体"/>
          <w:spacing w:val="-6"/>
          <w:sz w:val="24"/>
          <w:highlight w:val="none"/>
          <w:u w:val="single"/>
        </w:rPr>
        <w:t xml:space="preserve">                       </w:t>
      </w:r>
      <w:r>
        <w:rPr>
          <w:rFonts w:hint="eastAsia" w:ascii="宋体" w:hAnsi="宋体"/>
          <w:spacing w:val="-6"/>
          <w:sz w:val="24"/>
          <w:highlight w:val="none"/>
        </w:rPr>
        <w:t>系中华人民共和国合法企业，经营地址</w:t>
      </w:r>
      <w:r>
        <w:rPr>
          <w:rFonts w:hint="eastAsia" w:ascii="宋体" w:hAnsi="宋体"/>
          <w:spacing w:val="-6"/>
          <w:sz w:val="24"/>
          <w:highlight w:val="none"/>
          <w:u w:val="single"/>
        </w:rPr>
        <w:t xml:space="preserve">                    </w:t>
      </w:r>
      <w:r>
        <w:rPr>
          <w:rFonts w:hint="eastAsia" w:ascii="宋体" w:hAnsi="宋体"/>
          <w:spacing w:val="-6"/>
          <w:sz w:val="24"/>
          <w:highlight w:val="none"/>
        </w:rPr>
        <w:t>。</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我方愿意参加贵方组织的</w:t>
      </w:r>
      <w:r>
        <w:rPr>
          <w:rFonts w:hint="eastAsia" w:ascii="宋体" w:hAnsi="宋体"/>
          <w:spacing w:val="-6"/>
          <w:sz w:val="24"/>
          <w:highlight w:val="none"/>
          <w:lang w:eastAsia="zh-CN"/>
        </w:rPr>
        <w:t>2023年第一期公款竞争性存放</w:t>
      </w:r>
      <w:r>
        <w:rPr>
          <w:rFonts w:hint="eastAsia" w:ascii="宋体" w:hAnsi="宋体"/>
          <w:bCs/>
          <w:spacing w:val="-6"/>
          <w:sz w:val="24"/>
          <w:highlight w:val="none"/>
        </w:rPr>
        <w:t>项目</w:t>
      </w:r>
      <w:r>
        <w:rPr>
          <w:rFonts w:hint="eastAsia" w:ascii="宋体" w:hAnsi="宋体"/>
          <w:spacing w:val="-6"/>
          <w:sz w:val="24"/>
          <w:highlight w:val="none"/>
        </w:rPr>
        <w:t>的投标，为便于贵方公正、择优地确定中标人及其服务，我方就本次投标有关事项郑重声明如下：</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1</w:t>
      </w:r>
      <w:r>
        <w:rPr>
          <w:rFonts w:ascii="宋体" w:hAnsi="宋体"/>
          <w:spacing w:val="-6"/>
          <w:sz w:val="24"/>
          <w:highlight w:val="none"/>
        </w:rPr>
        <w:t>.</w:t>
      </w:r>
      <w:r>
        <w:rPr>
          <w:rFonts w:hint="eastAsia" w:ascii="宋体" w:hAnsi="宋体"/>
          <w:spacing w:val="-6"/>
          <w:sz w:val="24"/>
          <w:highlight w:val="none"/>
        </w:rPr>
        <w:t>我方向贵方提交的所有投标文件、资料都是准确的和真实的；</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2</w:t>
      </w:r>
      <w:r>
        <w:rPr>
          <w:rFonts w:ascii="宋体" w:hAnsi="宋体"/>
          <w:spacing w:val="-6"/>
          <w:sz w:val="24"/>
          <w:highlight w:val="none"/>
        </w:rPr>
        <w:t>.</w:t>
      </w:r>
      <w:r>
        <w:rPr>
          <w:rFonts w:hint="eastAsia" w:ascii="宋体" w:hAnsi="宋体"/>
          <w:spacing w:val="-6"/>
          <w:sz w:val="24"/>
          <w:highlight w:val="none"/>
        </w:rPr>
        <w:t>我方不是招标人的附属机构；在获知本项目采购信息后，与招标人聘请的为此项目提供咨询服务的公司及其附属机构没有任何联系。</w:t>
      </w:r>
    </w:p>
    <w:p>
      <w:pPr>
        <w:pStyle w:val="2"/>
        <w:spacing w:line="360" w:lineRule="auto"/>
        <w:ind w:firstLine="456" w:firstLineChars="200"/>
        <w:rPr>
          <w:rFonts w:hAnsi="宋体"/>
          <w:spacing w:val="-6"/>
          <w:sz w:val="24"/>
          <w:szCs w:val="24"/>
          <w:highlight w:val="none"/>
        </w:rPr>
      </w:pPr>
      <w:r>
        <w:rPr>
          <w:rFonts w:hAnsi="宋体"/>
          <w:spacing w:val="-6"/>
          <w:sz w:val="24"/>
          <w:szCs w:val="24"/>
          <w:highlight w:val="none"/>
        </w:rPr>
        <w:t>3.以上事项如有虚假或隐瞒，我方愿意承担一切后果和责任。</w:t>
      </w:r>
    </w:p>
    <w:p>
      <w:pPr>
        <w:pStyle w:val="74"/>
        <w:spacing w:line="360" w:lineRule="auto"/>
        <w:rPr>
          <w:rFonts w:ascii="宋体" w:hAnsi="宋体"/>
          <w:spacing w:val="-6"/>
          <w:szCs w:val="24"/>
          <w:highlight w:val="none"/>
        </w:rPr>
      </w:pPr>
    </w:p>
    <w:p>
      <w:pPr>
        <w:pStyle w:val="74"/>
        <w:spacing w:line="360" w:lineRule="auto"/>
        <w:rPr>
          <w:rFonts w:ascii="宋体" w:hAnsi="宋体"/>
          <w:spacing w:val="-6"/>
          <w:szCs w:val="24"/>
          <w:highlight w:val="none"/>
        </w:rPr>
      </w:pPr>
    </w:p>
    <w:p>
      <w:pPr>
        <w:pStyle w:val="74"/>
        <w:spacing w:line="360" w:lineRule="auto"/>
        <w:rPr>
          <w:rFonts w:ascii="宋体" w:hAnsi="宋体"/>
          <w:spacing w:val="-6"/>
          <w:szCs w:val="24"/>
          <w:highlight w:val="none"/>
        </w:rPr>
      </w:pPr>
    </w:p>
    <w:p>
      <w:pPr>
        <w:pStyle w:val="74"/>
        <w:spacing w:line="360" w:lineRule="auto"/>
        <w:rPr>
          <w:rFonts w:ascii="宋体" w:hAnsi="宋体"/>
          <w:spacing w:val="-6"/>
          <w:szCs w:val="24"/>
          <w:highlight w:val="none"/>
        </w:rPr>
      </w:pPr>
    </w:p>
    <w:p>
      <w:pPr>
        <w:pStyle w:val="74"/>
        <w:spacing w:line="360" w:lineRule="auto"/>
        <w:rPr>
          <w:rFonts w:ascii="宋体" w:hAnsi="宋体"/>
          <w:spacing w:val="-6"/>
          <w:szCs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spacing w:val="-6"/>
          <w:sz w:val="24"/>
          <w:highlight w:val="none"/>
        </w:rPr>
      </w:pPr>
      <w:r>
        <w:rPr>
          <w:rFonts w:hint="eastAsia" w:ascii="宋体" w:hAnsi="宋体"/>
          <w:spacing w:val="-6"/>
          <w:sz w:val="24"/>
          <w:highlight w:val="none"/>
        </w:rPr>
        <w:t>投标人代表签字：</w:t>
      </w:r>
    </w:p>
    <w:p>
      <w:pPr>
        <w:spacing w:line="360" w:lineRule="auto"/>
        <w:rPr>
          <w:rFonts w:ascii="宋体" w:hAnsi="宋体"/>
          <w:bCs/>
          <w:spacing w:val="-6"/>
          <w:sz w:val="24"/>
          <w:highlight w:val="none"/>
        </w:rPr>
      </w:pPr>
      <w:r>
        <w:rPr>
          <w:rFonts w:hint="eastAsia" w:ascii="宋体" w:hAnsi="宋体"/>
          <w:bCs/>
          <w:spacing w:val="-6"/>
          <w:sz w:val="24"/>
          <w:highlight w:val="none"/>
        </w:rPr>
        <w:t>日期：  年  月  日</w:t>
      </w:r>
    </w:p>
    <w:p>
      <w:pPr>
        <w:snapToGrid w:val="0"/>
        <w:spacing w:line="360" w:lineRule="auto"/>
        <w:jc w:val="center"/>
        <w:outlineLvl w:val="2"/>
        <w:rPr>
          <w:rFonts w:ascii="宋体" w:hAnsi="宋体"/>
          <w:b/>
          <w:spacing w:val="-6"/>
          <w:sz w:val="24"/>
          <w:highlight w:val="none"/>
        </w:rPr>
      </w:pPr>
      <w:r>
        <w:rPr>
          <w:rFonts w:ascii="宋体" w:hAnsi="宋体"/>
          <w:b/>
          <w:spacing w:val="-6"/>
          <w:sz w:val="24"/>
          <w:highlight w:val="none"/>
        </w:rPr>
        <w:br w:type="page"/>
      </w:r>
      <w:r>
        <w:rPr>
          <w:rFonts w:hint="eastAsia" w:ascii="宋体" w:hAnsi="宋体"/>
          <w:b/>
          <w:spacing w:val="-6"/>
          <w:sz w:val="24"/>
          <w:highlight w:val="none"/>
        </w:rPr>
        <w:t>廉政承诺书</w:t>
      </w:r>
    </w:p>
    <w:p>
      <w:pPr>
        <w:spacing w:line="360" w:lineRule="auto"/>
        <w:rPr>
          <w:rFonts w:ascii="宋体" w:hAnsi="宋体" w:cs="宋体"/>
          <w:sz w:val="24"/>
          <w:highlight w:val="none"/>
        </w:rPr>
      </w:pPr>
      <w:r>
        <w:rPr>
          <w:rFonts w:hint="eastAsia" w:ascii="宋体" w:hAnsi="宋体" w:cs="宋体"/>
          <w:sz w:val="24"/>
          <w:highlight w:val="none"/>
          <w:lang w:eastAsia="zh-CN"/>
        </w:rPr>
        <w:t>浙江金融职业学院</w:t>
      </w:r>
      <w:r>
        <w:rPr>
          <w:rFonts w:hint="eastAsia" w:ascii="宋体" w:hAnsi="宋体" w:cs="宋体"/>
          <w:sz w:val="24"/>
          <w:highlight w:val="none"/>
        </w:rPr>
        <w:t>：</w:t>
      </w:r>
    </w:p>
    <w:p>
      <w:pPr>
        <w:spacing w:line="360" w:lineRule="auto"/>
        <w:ind w:firstLine="420"/>
        <w:rPr>
          <w:rFonts w:ascii="宋体" w:hAnsi="宋体" w:cs="宋体"/>
          <w:sz w:val="24"/>
          <w:highlight w:val="none"/>
        </w:rPr>
      </w:pPr>
      <w:r>
        <w:rPr>
          <w:rFonts w:hint="eastAsia" w:ascii="宋体" w:hAnsi="宋体" w:cs="宋体"/>
          <w:sz w:val="24"/>
          <w:highlight w:val="none"/>
        </w:rPr>
        <w:t>根据《财政部关于进一步加强财政部门和预算单位资金存放管理的指导意见》（财库〔2017〕76号）、《浙江省省级行政事业单位公款竞争性存放管理办法》（浙财预执〔2021〕7号）相关规定，现就本行参加贵单位</w:t>
      </w:r>
      <w:r>
        <w:rPr>
          <w:rFonts w:hint="eastAsia" w:ascii="宋体" w:hAnsi="宋体" w:cs="宋体"/>
          <w:sz w:val="24"/>
          <w:highlight w:val="none"/>
          <w:lang w:eastAsia="zh-CN"/>
        </w:rPr>
        <w:t>2023年第一期公款竞争性存放</w:t>
      </w:r>
      <w:r>
        <w:rPr>
          <w:rFonts w:hint="eastAsia" w:ascii="宋体" w:hAnsi="宋体" w:cs="宋体"/>
          <w:sz w:val="24"/>
          <w:highlight w:val="none"/>
        </w:rPr>
        <w:t>作出如下承诺：</w:t>
      </w:r>
    </w:p>
    <w:p>
      <w:pPr>
        <w:spacing w:line="360" w:lineRule="auto"/>
        <w:ind w:firstLine="420"/>
        <w:rPr>
          <w:rFonts w:ascii="宋体" w:hAnsi="宋体" w:cs="宋体"/>
          <w:sz w:val="24"/>
          <w:highlight w:val="none"/>
        </w:rPr>
      </w:pPr>
      <w:r>
        <w:rPr>
          <w:rFonts w:hint="eastAsia" w:ascii="宋体" w:hAnsi="宋体" w:cs="宋体"/>
          <w:sz w:val="24"/>
          <w:highlight w:val="none"/>
        </w:rPr>
        <w:t>1.不向贵单位负责公款存放管理的领导及相关人员进行利益输送；</w:t>
      </w:r>
    </w:p>
    <w:p>
      <w:pPr>
        <w:spacing w:line="360" w:lineRule="auto"/>
        <w:ind w:firstLine="420"/>
        <w:rPr>
          <w:rFonts w:ascii="宋体" w:hAnsi="宋体" w:cs="宋体"/>
          <w:sz w:val="24"/>
          <w:highlight w:val="none"/>
        </w:rPr>
      </w:pPr>
      <w:r>
        <w:rPr>
          <w:rFonts w:hint="eastAsia" w:ascii="宋体" w:hAnsi="宋体" w:cs="宋体"/>
          <w:sz w:val="24"/>
          <w:highlight w:val="none"/>
        </w:rPr>
        <w:t>2.不将公款存放与贵单位负责公款存放管理的领导及相关人员在本行的配偶、子女及其配偶和其他直接利益相关人员的业绩、收入、晋升等利益挂钩；</w:t>
      </w:r>
    </w:p>
    <w:p>
      <w:pPr>
        <w:spacing w:line="360" w:lineRule="auto"/>
        <w:ind w:firstLine="420"/>
        <w:rPr>
          <w:rFonts w:ascii="宋体" w:hAnsi="宋体" w:cs="宋体"/>
          <w:sz w:val="24"/>
          <w:highlight w:val="none"/>
        </w:rPr>
      </w:pPr>
      <w:r>
        <w:rPr>
          <w:rFonts w:hint="eastAsia" w:ascii="宋体" w:hAnsi="宋体" w:cs="宋体"/>
          <w:sz w:val="24"/>
          <w:highlight w:val="none"/>
        </w:rPr>
        <w:t>3.严格执行利益回避制度，贵单位负责公款竞争性存放相关人员的配偶、子女及其配偶和其他直接利益相关人员为本行工作人员的，不参与公款竞争性存放工作；</w:t>
      </w:r>
    </w:p>
    <w:p>
      <w:pPr>
        <w:spacing w:line="360" w:lineRule="auto"/>
        <w:ind w:firstLine="420"/>
        <w:rPr>
          <w:rFonts w:ascii="宋体" w:hAnsi="宋体" w:cs="宋体"/>
          <w:sz w:val="24"/>
          <w:highlight w:val="none"/>
        </w:rPr>
      </w:pPr>
      <w:r>
        <w:rPr>
          <w:rFonts w:hint="eastAsia" w:ascii="宋体" w:hAnsi="宋体" w:cs="宋体"/>
          <w:sz w:val="24"/>
          <w:highlight w:val="none"/>
        </w:rPr>
        <w:t>4.不发生除上述行为之外的其他任何利益输送行为。</w:t>
      </w:r>
    </w:p>
    <w:p>
      <w:pPr>
        <w:spacing w:line="360" w:lineRule="auto"/>
        <w:ind w:firstLine="420"/>
        <w:rPr>
          <w:rFonts w:ascii="宋体" w:hAnsi="宋体" w:cs="宋体"/>
          <w:sz w:val="24"/>
          <w:highlight w:val="none"/>
        </w:rPr>
      </w:pPr>
      <w:r>
        <w:rPr>
          <w:rFonts w:hint="eastAsia" w:ascii="宋体" w:hAnsi="宋体" w:cs="宋体"/>
          <w:sz w:val="24"/>
          <w:highlight w:val="none"/>
        </w:rPr>
        <w:t>未遵守以上承诺的，本行自愿接受财政部门通报和处理，承担相应的一切后果。</w:t>
      </w:r>
    </w:p>
    <w:p>
      <w:pPr>
        <w:spacing w:line="360" w:lineRule="auto"/>
        <w:ind w:firstLine="420"/>
        <w:rPr>
          <w:rFonts w:ascii="宋体" w:hAnsi="宋体" w:cs="宋体"/>
          <w:sz w:val="24"/>
          <w:highlight w:val="none"/>
        </w:rPr>
      </w:pPr>
    </w:p>
    <w:p>
      <w:pPr>
        <w:spacing w:line="360" w:lineRule="auto"/>
        <w:ind w:firstLine="420"/>
        <w:rPr>
          <w:rFonts w:ascii="宋体" w:hAnsi="宋体" w:cs="宋体"/>
          <w:sz w:val="24"/>
          <w:highlight w:val="none"/>
        </w:rPr>
      </w:pPr>
    </w:p>
    <w:p>
      <w:pPr>
        <w:spacing w:line="360" w:lineRule="auto"/>
        <w:jc w:val="right"/>
        <w:rPr>
          <w:rFonts w:ascii="宋体" w:hAnsi="宋体" w:cs="宋体"/>
          <w:sz w:val="24"/>
          <w:highlight w:val="none"/>
        </w:rPr>
      </w:pPr>
      <w:r>
        <w:rPr>
          <w:rFonts w:hint="eastAsia" w:ascii="宋体" w:hAnsi="宋体" w:cs="宋体"/>
          <w:sz w:val="24"/>
          <w:highlight w:val="none"/>
        </w:rPr>
        <w:t>银行（公章）</w:t>
      </w:r>
    </w:p>
    <w:p>
      <w:pPr>
        <w:spacing w:line="360" w:lineRule="auto"/>
        <w:jc w:val="right"/>
        <w:rPr>
          <w:rFonts w:ascii="宋体" w:hAnsi="宋体"/>
          <w:b/>
          <w:spacing w:val="-6"/>
          <w:sz w:val="24"/>
          <w:highlight w:val="none"/>
        </w:rPr>
      </w:pPr>
      <w:r>
        <w:rPr>
          <w:rFonts w:hint="eastAsia" w:ascii="宋体" w:hAnsi="宋体" w:cs="宋体"/>
          <w:sz w:val="24"/>
          <w:highlight w:val="none"/>
        </w:rPr>
        <w:t xml:space="preserve">   年   月   日</w:t>
      </w:r>
    </w:p>
    <w:p>
      <w:pPr>
        <w:spacing w:line="360" w:lineRule="auto"/>
        <w:jc w:val="center"/>
        <w:outlineLvl w:val="1"/>
        <w:rPr>
          <w:rFonts w:ascii="宋体" w:hAnsi="宋体"/>
          <w:b/>
          <w:spacing w:val="-6"/>
          <w:sz w:val="52"/>
          <w:szCs w:val="52"/>
          <w:highlight w:val="none"/>
        </w:rPr>
      </w:pPr>
      <w:r>
        <w:rPr>
          <w:rFonts w:ascii="宋体" w:hAnsi="宋体"/>
          <w:b/>
          <w:spacing w:val="-6"/>
          <w:sz w:val="24"/>
          <w:highlight w:val="none"/>
        </w:rPr>
        <w:br w:type="page"/>
      </w:r>
    </w:p>
    <w:p>
      <w:pPr>
        <w:snapToGrid w:val="0"/>
        <w:spacing w:line="360" w:lineRule="auto"/>
        <w:jc w:val="center"/>
        <w:outlineLvl w:val="2"/>
        <w:rPr>
          <w:rFonts w:ascii="宋体" w:hAnsi="宋体"/>
          <w:b/>
          <w:spacing w:val="-6"/>
          <w:sz w:val="24"/>
          <w:highlight w:val="none"/>
        </w:rPr>
      </w:pPr>
      <w:r>
        <w:rPr>
          <w:rFonts w:hint="eastAsia" w:ascii="宋体" w:hAnsi="宋体"/>
          <w:b/>
          <w:spacing w:val="-6"/>
          <w:sz w:val="24"/>
          <w:highlight w:val="none"/>
        </w:rPr>
        <w:t>服务</w:t>
      </w:r>
      <w:r>
        <w:rPr>
          <w:rFonts w:ascii="宋体" w:hAnsi="宋体"/>
          <w:b/>
          <w:spacing w:val="-6"/>
          <w:sz w:val="24"/>
          <w:highlight w:val="none"/>
        </w:rPr>
        <w:t>承诺对照表</w:t>
      </w:r>
    </w:p>
    <w:p>
      <w:pPr>
        <w:spacing w:line="360" w:lineRule="auto"/>
        <w:rPr>
          <w:rFonts w:ascii="宋体" w:hAnsi="宋体"/>
          <w:spacing w:val="-6"/>
          <w:sz w:val="24"/>
          <w:highlight w:val="none"/>
        </w:rPr>
      </w:pPr>
    </w:p>
    <w:p>
      <w:pPr>
        <w:spacing w:line="360" w:lineRule="auto"/>
        <w:rPr>
          <w:rFonts w:hint="eastAsia" w:ascii="宋体" w:hAnsi="宋体" w:eastAsia="宋体"/>
          <w:spacing w:val="-6"/>
          <w:sz w:val="24"/>
          <w:highlight w:val="none"/>
          <w:lang w:eastAsia="zh-CN"/>
        </w:rPr>
      </w:pPr>
      <w:r>
        <w:rPr>
          <w:rFonts w:hint="eastAsia" w:ascii="宋体" w:hAnsi="宋体"/>
          <w:spacing w:val="-6"/>
          <w:sz w:val="24"/>
          <w:highlight w:val="none"/>
        </w:rPr>
        <w:t>招 标 人：</w:t>
      </w:r>
      <w:r>
        <w:rPr>
          <w:rFonts w:hint="eastAsia" w:ascii="宋体" w:hAnsi="宋体"/>
          <w:spacing w:val="-6"/>
          <w:sz w:val="24"/>
          <w:highlight w:val="none"/>
          <w:lang w:eastAsia="zh-CN"/>
        </w:rPr>
        <w:t>浙江金融职业学院</w:t>
      </w:r>
    </w:p>
    <w:p>
      <w:pPr>
        <w:spacing w:line="360" w:lineRule="auto"/>
        <w:rPr>
          <w:rFonts w:ascii="宋体" w:hAnsi="宋体"/>
          <w:spacing w:val="-6"/>
          <w:sz w:val="24"/>
          <w:highlight w:val="none"/>
        </w:rPr>
      </w:pPr>
      <w:r>
        <w:rPr>
          <w:rFonts w:hint="eastAsia" w:ascii="宋体" w:hAnsi="宋体"/>
          <w:spacing w:val="-6"/>
          <w:sz w:val="24"/>
          <w:highlight w:val="none"/>
        </w:rPr>
        <w:t>招标项目编号：</w:t>
      </w:r>
      <w:r>
        <w:rPr>
          <w:rFonts w:hint="eastAsia" w:ascii="宋体" w:hAnsi="宋体"/>
          <w:spacing w:val="-6"/>
          <w:sz w:val="24"/>
          <w:highlight w:val="none"/>
          <w:lang w:eastAsia="zh-CN"/>
        </w:rPr>
        <w:t>QSZB-F(F)-B23138(GK)</w:t>
      </w:r>
      <w:r>
        <w:rPr>
          <w:rFonts w:hint="eastAsia" w:ascii="宋体" w:hAnsi="宋体"/>
          <w:spacing w:val="-6"/>
          <w:sz w:val="24"/>
          <w:highlight w:val="none"/>
        </w:rPr>
        <w:t xml:space="preserve"> </w:t>
      </w:r>
    </w:p>
    <w:tbl>
      <w:tblPr>
        <w:tblStyle w:val="24"/>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551"/>
        <w:gridCol w:w="2552"/>
        <w:gridCol w:w="3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b/>
                <w:spacing w:val="-6"/>
                <w:sz w:val="24"/>
                <w:highlight w:val="none"/>
              </w:rPr>
            </w:pPr>
            <w:r>
              <w:rPr>
                <w:rFonts w:hint="eastAsia" w:ascii="宋体" w:hAnsi="宋体"/>
                <w:b/>
                <w:spacing w:val="-6"/>
                <w:sz w:val="24"/>
                <w:highlight w:val="none"/>
              </w:rPr>
              <w:t>项目</w:t>
            </w:r>
          </w:p>
        </w:tc>
        <w:tc>
          <w:tcPr>
            <w:tcW w:w="2551"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b/>
                <w:spacing w:val="-6"/>
                <w:sz w:val="24"/>
                <w:highlight w:val="none"/>
              </w:rPr>
            </w:pPr>
            <w:r>
              <w:rPr>
                <w:rFonts w:hint="eastAsia" w:ascii="宋体" w:hAnsi="宋体"/>
                <w:b/>
                <w:spacing w:val="-6"/>
                <w:sz w:val="24"/>
                <w:highlight w:val="none"/>
              </w:rPr>
              <w:t>招标</w:t>
            </w:r>
            <w:r>
              <w:rPr>
                <w:rFonts w:hint="default" w:ascii="宋体" w:hAnsi="宋体"/>
                <w:b/>
                <w:spacing w:val="-6"/>
                <w:sz w:val="24"/>
                <w:highlight w:val="none"/>
              </w:rPr>
              <w:t>文件要求</w:t>
            </w:r>
          </w:p>
        </w:tc>
        <w:tc>
          <w:tcPr>
            <w:tcW w:w="2552"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b/>
                <w:spacing w:val="-6"/>
                <w:sz w:val="24"/>
                <w:highlight w:val="none"/>
              </w:rPr>
            </w:pPr>
            <w:r>
              <w:rPr>
                <w:rFonts w:hint="eastAsia" w:ascii="宋体" w:hAnsi="宋体"/>
                <w:b/>
                <w:spacing w:val="-6"/>
                <w:sz w:val="24"/>
                <w:highlight w:val="none"/>
              </w:rPr>
              <w:t>是否</w:t>
            </w:r>
            <w:r>
              <w:rPr>
                <w:rFonts w:hint="default" w:ascii="宋体" w:hAnsi="宋体"/>
                <w:b/>
                <w:spacing w:val="-6"/>
                <w:sz w:val="24"/>
                <w:highlight w:val="none"/>
              </w:rPr>
              <w:t>响应</w:t>
            </w:r>
          </w:p>
        </w:tc>
        <w:tc>
          <w:tcPr>
            <w:tcW w:w="3424"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b/>
                <w:spacing w:val="-6"/>
                <w:sz w:val="24"/>
                <w:highlight w:val="none"/>
              </w:rPr>
            </w:pPr>
            <w:r>
              <w:rPr>
                <w:rFonts w:hint="eastAsia" w:ascii="宋体" w:hAnsi="宋体"/>
                <w:b/>
                <w:spacing w:val="-6"/>
                <w:sz w:val="24"/>
                <w:highlight w:val="none"/>
              </w:rPr>
              <w:t>投标人</w:t>
            </w:r>
            <w:r>
              <w:rPr>
                <w:rFonts w:hint="default" w:ascii="宋体" w:hAnsi="宋体"/>
                <w:b/>
                <w:spacing w:val="-6"/>
                <w:sz w:val="24"/>
                <w:highlight w:val="none"/>
              </w:rPr>
              <w:t>的承诺或说明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628" w:type="dxa"/>
            <w:gridSpan w:val="4"/>
            <w:vAlign w:val="center"/>
          </w:tcPr>
          <w:p>
            <w:pPr>
              <w:keepNext w:val="0"/>
              <w:keepLines w:val="0"/>
              <w:suppressLineNumbers w:val="0"/>
              <w:snapToGrid w:val="0"/>
              <w:spacing w:before="0" w:beforeAutospacing="0" w:after="0" w:afterAutospacing="0" w:line="360" w:lineRule="auto"/>
              <w:ind w:left="0" w:right="0"/>
              <w:rPr>
                <w:rFonts w:hint="default" w:ascii="宋体" w:hAnsi="宋体"/>
                <w:b/>
                <w:spacing w:val="-6"/>
                <w:sz w:val="24"/>
                <w:highlight w:val="none"/>
              </w:rPr>
            </w:pPr>
            <w:r>
              <w:rPr>
                <w:rFonts w:hint="eastAsia" w:ascii="宋体" w:hAnsi="宋体"/>
                <w:b/>
                <w:spacing w:val="-6"/>
                <w:sz w:val="24"/>
                <w:highlight w:val="none"/>
              </w:rPr>
              <w:t>服务</w:t>
            </w:r>
            <w:r>
              <w:rPr>
                <w:rFonts w:hint="default" w:ascii="宋体" w:hAnsi="宋体"/>
                <w:b/>
                <w:spacing w:val="-6"/>
                <w:sz w:val="24"/>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w:t>
            </w:r>
            <w:r>
              <w:rPr>
                <w:rFonts w:hint="default" w:ascii="宋体" w:hAnsi="宋体"/>
                <w:spacing w:val="-6"/>
                <w:sz w:val="24"/>
                <w:highlight w:val="none"/>
              </w:rPr>
              <w:t>一）</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（二）</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w:t>
            </w:r>
            <w:r>
              <w:rPr>
                <w:rFonts w:hint="default" w:ascii="宋体" w:hAnsi="宋体"/>
                <w:spacing w:val="-6"/>
                <w:sz w:val="24"/>
                <w:highlight w:val="none"/>
              </w:rPr>
              <w:t>三）</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（四</w:t>
            </w:r>
            <w:r>
              <w:rPr>
                <w:rFonts w:hint="default" w:ascii="宋体" w:hAnsi="宋体"/>
                <w:spacing w:val="-6"/>
                <w:sz w:val="24"/>
                <w:highlight w:val="none"/>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（五</w:t>
            </w:r>
            <w:r>
              <w:rPr>
                <w:rFonts w:hint="default" w:ascii="宋体" w:hAnsi="宋体"/>
                <w:spacing w:val="-6"/>
                <w:sz w:val="24"/>
                <w:highlight w:val="none"/>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（六</w:t>
            </w:r>
            <w:r>
              <w:rPr>
                <w:rFonts w:hint="default" w:ascii="宋体" w:hAnsi="宋体"/>
                <w:spacing w:val="-6"/>
                <w:sz w:val="24"/>
                <w:highlight w:val="none"/>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（七</w:t>
            </w:r>
            <w:r>
              <w:rPr>
                <w:rFonts w:hint="default" w:ascii="宋体" w:hAnsi="宋体"/>
                <w:spacing w:val="-6"/>
                <w:sz w:val="24"/>
                <w:highlight w:val="none"/>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（八</w:t>
            </w:r>
            <w:r>
              <w:rPr>
                <w:rFonts w:hint="default" w:ascii="宋体" w:hAnsi="宋体"/>
                <w:spacing w:val="-6"/>
                <w:sz w:val="24"/>
                <w:highlight w:val="none"/>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spacing w:val="-6"/>
                <w:sz w:val="24"/>
                <w:highlight w:val="none"/>
                <w:lang w:eastAsia="zh-CN"/>
              </w:rPr>
            </w:pPr>
            <w:r>
              <w:rPr>
                <w:rFonts w:hint="eastAsia" w:ascii="宋体" w:hAnsi="宋体"/>
                <w:spacing w:val="-6"/>
                <w:sz w:val="24"/>
                <w:highlight w:val="none"/>
                <w:lang w:eastAsia="zh-CN"/>
              </w:rPr>
              <w:t>（</w:t>
            </w:r>
            <w:r>
              <w:rPr>
                <w:rFonts w:hint="eastAsia" w:ascii="宋体" w:hAnsi="宋体"/>
                <w:spacing w:val="-6"/>
                <w:sz w:val="24"/>
                <w:highlight w:val="none"/>
                <w:lang w:val="en-US" w:eastAsia="zh-CN"/>
              </w:rPr>
              <w:t>九</w:t>
            </w:r>
            <w:r>
              <w:rPr>
                <w:rFonts w:hint="eastAsia" w:ascii="宋体" w:hAnsi="宋体"/>
                <w:spacing w:val="-6"/>
                <w:sz w:val="24"/>
                <w:highlight w:val="none"/>
                <w:lang w:eastAsia="zh-CN"/>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bl>
    <w:p>
      <w:pPr>
        <w:snapToGrid w:val="0"/>
        <w:spacing w:line="360" w:lineRule="auto"/>
        <w:jc w:val="center"/>
        <w:rPr>
          <w:rFonts w:ascii="宋体" w:hAnsi="宋体"/>
          <w:b/>
          <w:spacing w:val="-6"/>
          <w:sz w:val="24"/>
          <w:highlight w:val="none"/>
        </w:rPr>
      </w:pPr>
    </w:p>
    <w:p>
      <w:pPr>
        <w:spacing w:line="360" w:lineRule="auto"/>
        <w:rPr>
          <w:rFonts w:ascii="宋体" w:hAnsi="宋体"/>
          <w:spacing w:val="-6"/>
          <w:sz w:val="24"/>
          <w:highlight w:val="none"/>
        </w:rPr>
      </w:pPr>
    </w:p>
    <w:p>
      <w:pPr>
        <w:spacing w:line="360" w:lineRule="auto"/>
        <w:rPr>
          <w:rFonts w:ascii="宋体" w:hAnsi="宋体"/>
          <w:spacing w:val="-6"/>
          <w:sz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spacing w:val="-6"/>
          <w:sz w:val="24"/>
          <w:highlight w:val="none"/>
        </w:rPr>
      </w:pPr>
      <w:r>
        <w:rPr>
          <w:rFonts w:hint="eastAsia" w:ascii="宋体" w:hAnsi="宋体"/>
          <w:spacing w:val="-6"/>
          <w:sz w:val="24"/>
          <w:highlight w:val="none"/>
        </w:rPr>
        <w:t>投标人代表签字：</w:t>
      </w:r>
    </w:p>
    <w:p>
      <w:pPr>
        <w:spacing w:line="360" w:lineRule="auto"/>
        <w:rPr>
          <w:rFonts w:ascii="宋体" w:hAnsi="宋体"/>
          <w:bCs/>
          <w:spacing w:val="-6"/>
          <w:sz w:val="24"/>
          <w:highlight w:val="none"/>
        </w:rPr>
      </w:pPr>
      <w:r>
        <w:rPr>
          <w:rFonts w:hint="eastAsia" w:ascii="宋体" w:hAnsi="宋体"/>
          <w:bCs/>
          <w:spacing w:val="-6"/>
          <w:sz w:val="24"/>
          <w:highlight w:val="none"/>
        </w:rPr>
        <w:t>日期：  年  月  日</w:t>
      </w:r>
    </w:p>
    <w:p>
      <w:pPr>
        <w:pStyle w:val="32"/>
        <w:spacing w:line="360" w:lineRule="auto"/>
        <w:rPr>
          <w:rFonts w:ascii="宋体" w:hAnsi="宋体" w:cs="宋体"/>
          <w:b/>
          <w:color w:val="auto"/>
          <w:highlight w:val="none"/>
        </w:rPr>
      </w:pPr>
      <w:r>
        <w:rPr>
          <w:rFonts w:ascii="宋体" w:hAnsi="宋体" w:cs="宋体"/>
          <w:b/>
          <w:color w:val="auto"/>
          <w:highlight w:val="none"/>
        </w:rPr>
        <w:br w:type="page"/>
      </w:r>
    </w:p>
    <w:p>
      <w:pPr>
        <w:snapToGrid w:val="0"/>
        <w:spacing w:line="360" w:lineRule="auto"/>
        <w:jc w:val="center"/>
        <w:rPr>
          <w:rFonts w:ascii="宋体" w:hAnsi="宋体" w:cs="宋体"/>
          <w:b/>
          <w:sz w:val="24"/>
          <w:highlight w:val="none"/>
        </w:rPr>
      </w:pPr>
      <w:r>
        <w:rPr>
          <w:rFonts w:hint="eastAsia" w:ascii="宋体" w:hAnsi="宋体" w:cs="宋体"/>
          <w:b/>
          <w:sz w:val="24"/>
          <w:highlight w:val="none"/>
        </w:rPr>
        <w:t>以下内容根据评分细则、格式自拟</w:t>
      </w:r>
    </w:p>
    <w:p>
      <w:pPr>
        <w:snapToGrid w:val="0"/>
        <w:spacing w:line="360" w:lineRule="auto"/>
        <w:jc w:val="left"/>
        <w:rPr>
          <w:rFonts w:ascii="宋体" w:hAnsi="宋体" w:cs="宋体"/>
          <w:b/>
          <w:sz w:val="24"/>
          <w:highlight w:val="none"/>
        </w:rPr>
      </w:pPr>
    </w:p>
    <w:p>
      <w:pPr>
        <w:pStyle w:val="32"/>
        <w:spacing w:line="360" w:lineRule="auto"/>
        <w:rPr>
          <w:rFonts w:hint="eastAsia" w:ascii="宋体" w:hAnsi="宋体" w:cs="宋体"/>
          <w:b/>
          <w:sz w:val="24"/>
          <w:highlight w:val="none"/>
        </w:rPr>
      </w:pPr>
      <w:r>
        <w:rPr>
          <w:rFonts w:hint="eastAsia" w:ascii="宋体" w:hAnsi="宋体" w:cs="宋体"/>
          <w:b/>
          <w:sz w:val="24"/>
          <w:highlight w:val="none"/>
        </w:rPr>
        <w:t>既往服务情况</w:t>
      </w:r>
    </w:p>
    <w:p>
      <w:pPr>
        <w:pStyle w:val="32"/>
        <w:spacing w:line="360" w:lineRule="auto"/>
        <w:rPr>
          <w:rFonts w:hint="eastAsia" w:ascii="宋体" w:hAnsi="宋体" w:cs="宋体"/>
          <w:b/>
          <w:sz w:val="24"/>
          <w:highlight w:val="none"/>
        </w:rPr>
      </w:pPr>
      <w:r>
        <w:rPr>
          <w:rFonts w:hint="eastAsia" w:ascii="宋体" w:hAnsi="宋体" w:cs="宋体"/>
          <w:b/>
          <w:sz w:val="24"/>
          <w:highlight w:val="none"/>
        </w:rPr>
        <w:t>发展服务方案承诺</w:t>
      </w:r>
    </w:p>
    <w:p>
      <w:pPr>
        <w:widowControl/>
        <w:spacing w:line="360" w:lineRule="auto"/>
        <w:jc w:val="left"/>
        <w:rPr>
          <w:rFonts w:ascii="宋体" w:hAnsi="宋体" w:cs="宋体"/>
          <w:b/>
          <w:kern w:val="0"/>
          <w:sz w:val="24"/>
          <w:highlight w:val="none"/>
        </w:rPr>
      </w:pPr>
    </w:p>
    <w:sectPr>
      <w:footerReference r:id="rId5" w:type="default"/>
      <w:pgSz w:w="11906" w:h="16838"/>
      <w:pgMar w:top="1247" w:right="1247" w:bottom="1247" w:left="1247" w:header="1" w:footer="724" w:gutter="0"/>
      <w:pgNumType w:start="1"/>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Helvetica Neue Light">
    <w:altName w:val="Courier New"/>
    <w:panose1 w:val="00000000000000000000"/>
    <w:charset w:val="00"/>
    <w:family w:val="auto"/>
    <w:pitch w:val="default"/>
    <w:sig w:usb0="00000000" w:usb1="00000000" w:usb2="00000000" w:usb3="00000000" w:csb0="00000001" w:csb1="00000000"/>
  </w:font>
  <w:font w:name="ヒラギノ角ゴ Pro W3">
    <w:altName w:val="MS Gothic"/>
    <w:panose1 w:val="00000000000000000000"/>
    <w:charset w:val="80"/>
    <w:family w:val="auto"/>
    <w:pitch w:val="default"/>
    <w:sig w:usb0="00000000" w:usb1="00000000" w:usb2="07040001" w:usb3="00000000" w:csb0="0002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417"/>
      </w:tabs>
      <w:rPr>
        <w:rFonts w:ascii="宋体" w:hAnsi="宋体"/>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417"/>
      </w:tabs>
      <w:jc w:val="center"/>
      <w:rPr>
        <w:rFonts w:ascii="宋体" w:hAnsi="宋体"/>
        <w:sz w:val="18"/>
        <w:szCs w:val="18"/>
      </w:rPr>
    </w:pPr>
    <w:r>
      <w:rPr>
        <w:rFonts w:ascii="宋体" w:hAnsi="宋体"/>
        <w:sz w:val="18"/>
        <w:szCs w:val="18"/>
      </w:rPr>
      <w:fldChar w:fldCharType="begin"/>
    </w:r>
    <w:r>
      <w:rPr>
        <w:rFonts w:ascii="宋体" w:hAnsi="宋体"/>
        <w:sz w:val="18"/>
        <w:szCs w:val="18"/>
      </w:rPr>
      <w:instrText xml:space="preserve"> PAGE   \* MERGEFORMAT </w:instrText>
    </w:r>
    <w:r>
      <w:rPr>
        <w:rFonts w:ascii="宋体" w:hAnsi="宋体"/>
        <w:sz w:val="18"/>
        <w:szCs w:val="18"/>
      </w:rPr>
      <w:fldChar w:fldCharType="separate"/>
    </w:r>
    <w:r>
      <w:rPr>
        <w:rFonts w:ascii="宋体" w:hAnsi="宋体"/>
        <w:sz w:val="18"/>
        <w:szCs w:val="18"/>
        <w:lang w:val="zh-CN"/>
      </w:rPr>
      <w:t>16</w:t>
    </w:r>
    <w:r>
      <w:rPr>
        <w:rFonts w:ascii="宋体" w:hAnsi="宋体"/>
        <w:sz w:val="18"/>
        <w:szCs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drawing>
        <wp:inline distT="0" distB="0" distL="0" distR="0">
          <wp:extent cx="5905500" cy="676275"/>
          <wp:effectExtent l="19050" t="0" r="0" b="0"/>
          <wp:docPr id="2" name="图片 2" descr="E:\文件制作\页眉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文件制作\页眉620.jpg"/>
                  <pic:cNvPicPr>
                    <a:picLocks noChangeAspect="1" noChangeArrowheads="1"/>
                  </pic:cNvPicPr>
                </pic:nvPicPr>
                <pic:blipFill>
                  <a:blip r:embed="rId1"/>
                  <a:srcRect/>
                  <a:stretch>
                    <a:fillRect/>
                  </a:stretch>
                </pic:blipFill>
                <pic:spPr>
                  <a:xfrm>
                    <a:off x="0" y="0"/>
                    <a:ext cx="5905500" cy="6762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5"/>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B"/>
    <w:multiLevelType w:val="multilevel"/>
    <w:tmpl w:val="0000000B"/>
    <w:lvl w:ilvl="0" w:tentative="0">
      <w:start w:val="1"/>
      <w:numFmt w:val="japaneseCounting"/>
      <w:lvlText w:val="第%1章"/>
      <w:lvlJc w:val="left"/>
      <w:pPr>
        <w:tabs>
          <w:tab w:val="left" w:pos="1440"/>
        </w:tabs>
        <w:ind w:left="1440" w:hanging="1275"/>
      </w:pPr>
    </w:lvl>
    <w:lvl w:ilvl="1" w:tentative="0">
      <w:start w:val="1"/>
      <w:numFmt w:val="japaneseCounting"/>
      <w:lvlText w:val="%2、"/>
      <w:lvlJc w:val="left"/>
      <w:pPr>
        <w:tabs>
          <w:tab w:val="left" w:pos="1305"/>
        </w:tabs>
        <w:ind w:left="1305" w:hanging="7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680D39D"/>
    <w:multiLevelType w:val="singleLevel"/>
    <w:tmpl w:val="5680D39D"/>
    <w:lvl w:ilvl="0" w:tentative="0">
      <w:start w:val="1"/>
      <w:numFmt w:val="chineseCounting"/>
      <w:suff w:val="nothing"/>
      <w:lvlText w:val="%1、"/>
      <w:lvlJc w:val="left"/>
    </w:lvl>
  </w:abstractNum>
  <w:num w:numId="1">
    <w:abstractNumId w:val="0"/>
  </w:num>
  <w:num w:numId="2">
    <w:abstractNumId w:val="1"/>
    <w:lvlOverride w:ilvl="0">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60"/>
  <w:bordersDoNotSurroundHeader w:val="0"/>
  <w:bordersDoNotSurroundFooter w:val="0"/>
  <w:documentProtection w:enforcement="0"/>
  <w:defaultTabStop w:val="420"/>
  <w:drawingGridHorizontalSpacing w:val="14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4YTY2NzNjYzhhMDBjYjhiZDFjNDRhZjk5ZjcyM2MifQ=="/>
  </w:docVars>
  <w:rsids>
    <w:rsidRoot w:val="00172A27"/>
    <w:rsid w:val="00003BD7"/>
    <w:rsid w:val="0000407F"/>
    <w:rsid w:val="00004BC1"/>
    <w:rsid w:val="000055AA"/>
    <w:rsid w:val="00006479"/>
    <w:rsid w:val="00010B5C"/>
    <w:rsid w:val="000114CE"/>
    <w:rsid w:val="00012EBC"/>
    <w:rsid w:val="00012FC3"/>
    <w:rsid w:val="0001334A"/>
    <w:rsid w:val="00013F01"/>
    <w:rsid w:val="00014602"/>
    <w:rsid w:val="0001520A"/>
    <w:rsid w:val="00015891"/>
    <w:rsid w:val="000169F9"/>
    <w:rsid w:val="00017BEE"/>
    <w:rsid w:val="00020801"/>
    <w:rsid w:val="00020818"/>
    <w:rsid w:val="00020AA9"/>
    <w:rsid w:val="00020F9E"/>
    <w:rsid w:val="00021B6A"/>
    <w:rsid w:val="00021D4E"/>
    <w:rsid w:val="00021DFD"/>
    <w:rsid w:val="000224A1"/>
    <w:rsid w:val="00022F14"/>
    <w:rsid w:val="00023178"/>
    <w:rsid w:val="00024130"/>
    <w:rsid w:val="00024666"/>
    <w:rsid w:val="0002534F"/>
    <w:rsid w:val="00025E6A"/>
    <w:rsid w:val="00026877"/>
    <w:rsid w:val="000276C1"/>
    <w:rsid w:val="00027A21"/>
    <w:rsid w:val="00027A3C"/>
    <w:rsid w:val="00030DB5"/>
    <w:rsid w:val="00030E81"/>
    <w:rsid w:val="000310FE"/>
    <w:rsid w:val="00031E2B"/>
    <w:rsid w:val="00032280"/>
    <w:rsid w:val="000325E1"/>
    <w:rsid w:val="00033E2F"/>
    <w:rsid w:val="00034177"/>
    <w:rsid w:val="00034B6F"/>
    <w:rsid w:val="000354BF"/>
    <w:rsid w:val="00035A6C"/>
    <w:rsid w:val="00036905"/>
    <w:rsid w:val="00036972"/>
    <w:rsid w:val="00036996"/>
    <w:rsid w:val="0003700E"/>
    <w:rsid w:val="0003797E"/>
    <w:rsid w:val="00037D61"/>
    <w:rsid w:val="00040041"/>
    <w:rsid w:val="000410B9"/>
    <w:rsid w:val="00041D0F"/>
    <w:rsid w:val="00043E78"/>
    <w:rsid w:val="00045713"/>
    <w:rsid w:val="000459B5"/>
    <w:rsid w:val="00045C96"/>
    <w:rsid w:val="00045EE2"/>
    <w:rsid w:val="00047222"/>
    <w:rsid w:val="00047DF2"/>
    <w:rsid w:val="000504A2"/>
    <w:rsid w:val="00050798"/>
    <w:rsid w:val="00051097"/>
    <w:rsid w:val="0005142F"/>
    <w:rsid w:val="0005166C"/>
    <w:rsid w:val="00051736"/>
    <w:rsid w:val="00052C43"/>
    <w:rsid w:val="00053647"/>
    <w:rsid w:val="00053AD2"/>
    <w:rsid w:val="00054211"/>
    <w:rsid w:val="00054601"/>
    <w:rsid w:val="00055269"/>
    <w:rsid w:val="00055762"/>
    <w:rsid w:val="000558AF"/>
    <w:rsid w:val="0005629D"/>
    <w:rsid w:val="00056A91"/>
    <w:rsid w:val="00056E35"/>
    <w:rsid w:val="000572E5"/>
    <w:rsid w:val="000574BB"/>
    <w:rsid w:val="000575CA"/>
    <w:rsid w:val="00057B3C"/>
    <w:rsid w:val="00057C6A"/>
    <w:rsid w:val="0006044C"/>
    <w:rsid w:val="00060962"/>
    <w:rsid w:val="00061877"/>
    <w:rsid w:val="00061D3E"/>
    <w:rsid w:val="0006212B"/>
    <w:rsid w:val="00062A65"/>
    <w:rsid w:val="00062C77"/>
    <w:rsid w:val="00064453"/>
    <w:rsid w:val="00064853"/>
    <w:rsid w:val="00064F1A"/>
    <w:rsid w:val="00065066"/>
    <w:rsid w:val="00065362"/>
    <w:rsid w:val="00065984"/>
    <w:rsid w:val="00065AD7"/>
    <w:rsid w:val="00066072"/>
    <w:rsid w:val="000670D3"/>
    <w:rsid w:val="0006777C"/>
    <w:rsid w:val="0006785D"/>
    <w:rsid w:val="00067B67"/>
    <w:rsid w:val="000710BF"/>
    <w:rsid w:val="00071135"/>
    <w:rsid w:val="00071C2A"/>
    <w:rsid w:val="00072425"/>
    <w:rsid w:val="00072746"/>
    <w:rsid w:val="000728B5"/>
    <w:rsid w:val="00073FF7"/>
    <w:rsid w:val="00074378"/>
    <w:rsid w:val="00074D7B"/>
    <w:rsid w:val="00076570"/>
    <w:rsid w:val="00077067"/>
    <w:rsid w:val="0007776E"/>
    <w:rsid w:val="000804A7"/>
    <w:rsid w:val="00080A03"/>
    <w:rsid w:val="00080B30"/>
    <w:rsid w:val="00083EE5"/>
    <w:rsid w:val="00084D5F"/>
    <w:rsid w:val="00085889"/>
    <w:rsid w:val="00085EC0"/>
    <w:rsid w:val="0008603E"/>
    <w:rsid w:val="00087D31"/>
    <w:rsid w:val="00087FF2"/>
    <w:rsid w:val="00090ABA"/>
    <w:rsid w:val="00091CC8"/>
    <w:rsid w:val="00092C46"/>
    <w:rsid w:val="00092E35"/>
    <w:rsid w:val="00093340"/>
    <w:rsid w:val="00093988"/>
    <w:rsid w:val="000941F1"/>
    <w:rsid w:val="00094C73"/>
    <w:rsid w:val="000957CD"/>
    <w:rsid w:val="00096127"/>
    <w:rsid w:val="000965C7"/>
    <w:rsid w:val="0009732C"/>
    <w:rsid w:val="000A1473"/>
    <w:rsid w:val="000A2610"/>
    <w:rsid w:val="000A2678"/>
    <w:rsid w:val="000A29BE"/>
    <w:rsid w:val="000A3119"/>
    <w:rsid w:val="000A35E1"/>
    <w:rsid w:val="000A3A5F"/>
    <w:rsid w:val="000A4CE6"/>
    <w:rsid w:val="000A4D7E"/>
    <w:rsid w:val="000A79FF"/>
    <w:rsid w:val="000A7CFC"/>
    <w:rsid w:val="000B1842"/>
    <w:rsid w:val="000B2628"/>
    <w:rsid w:val="000B34D6"/>
    <w:rsid w:val="000B3E1B"/>
    <w:rsid w:val="000B40E6"/>
    <w:rsid w:val="000B504A"/>
    <w:rsid w:val="000B55D0"/>
    <w:rsid w:val="000B575E"/>
    <w:rsid w:val="000B5C73"/>
    <w:rsid w:val="000B6848"/>
    <w:rsid w:val="000B6C54"/>
    <w:rsid w:val="000B723F"/>
    <w:rsid w:val="000B75B1"/>
    <w:rsid w:val="000B7688"/>
    <w:rsid w:val="000B78AE"/>
    <w:rsid w:val="000C3357"/>
    <w:rsid w:val="000C3741"/>
    <w:rsid w:val="000C37FE"/>
    <w:rsid w:val="000C3AB9"/>
    <w:rsid w:val="000C3BAF"/>
    <w:rsid w:val="000C460F"/>
    <w:rsid w:val="000C47A9"/>
    <w:rsid w:val="000C4883"/>
    <w:rsid w:val="000C5831"/>
    <w:rsid w:val="000C587D"/>
    <w:rsid w:val="000C5C75"/>
    <w:rsid w:val="000C60CB"/>
    <w:rsid w:val="000C6718"/>
    <w:rsid w:val="000C741E"/>
    <w:rsid w:val="000D03C9"/>
    <w:rsid w:val="000D1903"/>
    <w:rsid w:val="000D25B1"/>
    <w:rsid w:val="000D499E"/>
    <w:rsid w:val="000D4C7F"/>
    <w:rsid w:val="000D4F7D"/>
    <w:rsid w:val="000D519D"/>
    <w:rsid w:val="000D6676"/>
    <w:rsid w:val="000D6C0F"/>
    <w:rsid w:val="000D7D05"/>
    <w:rsid w:val="000E01C6"/>
    <w:rsid w:val="000E0616"/>
    <w:rsid w:val="000E0978"/>
    <w:rsid w:val="000E1432"/>
    <w:rsid w:val="000E1629"/>
    <w:rsid w:val="000E1BE1"/>
    <w:rsid w:val="000E1EE9"/>
    <w:rsid w:val="000E1F26"/>
    <w:rsid w:val="000E25FD"/>
    <w:rsid w:val="000E29C9"/>
    <w:rsid w:val="000E3A24"/>
    <w:rsid w:val="000E6588"/>
    <w:rsid w:val="000E7DBB"/>
    <w:rsid w:val="000F09AF"/>
    <w:rsid w:val="000F0D64"/>
    <w:rsid w:val="000F14E4"/>
    <w:rsid w:val="000F1F26"/>
    <w:rsid w:val="000F2AAD"/>
    <w:rsid w:val="000F30F5"/>
    <w:rsid w:val="000F31CF"/>
    <w:rsid w:val="000F3B05"/>
    <w:rsid w:val="000F47CE"/>
    <w:rsid w:val="000F4B22"/>
    <w:rsid w:val="000F55B7"/>
    <w:rsid w:val="000F5BBD"/>
    <w:rsid w:val="000F5CF1"/>
    <w:rsid w:val="000F5D40"/>
    <w:rsid w:val="000F665A"/>
    <w:rsid w:val="000F7174"/>
    <w:rsid w:val="000F7941"/>
    <w:rsid w:val="000F7E59"/>
    <w:rsid w:val="001003F0"/>
    <w:rsid w:val="0010098C"/>
    <w:rsid w:val="00100E4C"/>
    <w:rsid w:val="00101341"/>
    <w:rsid w:val="00102403"/>
    <w:rsid w:val="00102D01"/>
    <w:rsid w:val="00105F12"/>
    <w:rsid w:val="00105FC5"/>
    <w:rsid w:val="001070C4"/>
    <w:rsid w:val="001078DB"/>
    <w:rsid w:val="00107A62"/>
    <w:rsid w:val="00110547"/>
    <w:rsid w:val="001107C6"/>
    <w:rsid w:val="00110AE7"/>
    <w:rsid w:val="00111B51"/>
    <w:rsid w:val="00112E64"/>
    <w:rsid w:val="001143D2"/>
    <w:rsid w:val="001144F7"/>
    <w:rsid w:val="00116AC0"/>
    <w:rsid w:val="00117084"/>
    <w:rsid w:val="00117CA4"/>
    <w:rsid w:val="0012048B"/>
    <w:rsid w:val="00120BDC"/>
    <w:rsid w:val="00121040"/>
    <w:rsid w:val="00123983"/>
    <w:rsid w:val="00123C1D"/>
    <w:rsid w:val="00124512"/>
    <w:rsid w:val="0012489C"/>
    <w:rsid w:val="00124DE1"/>
    <w:rsid w:val="00125768"/>
    <w:rsid w:val="00126439"/>
    <w:rsid w:val="001266CC"/>
    <w:rsid w:val="00126C29"/>
    <w:rsid w:val="00130CAF"/>
    <w:rsid w:val="00130ED6"/>
    <w:rsid w:val="00132A2E"/>
    <w:rsid w:val="001330A8"/>
    <w:rsid w:val="00135280"/>
    <w:rsid w:val="00136919"/>
    <w:rsid w:val="00136ED4"/>
    <w:rsid w:val="0013796A"/>
    <w:rsid w:val="00140466"/>
    <w:rsid w:val="00141D0D"/>
    <w:rsid w:val="00142B06"/>
    <w:rsid w:val="0014310B"/>
    <w:rsid w:val="00143148"/>
    <w:rsid w:val="0014555E"/>
    <w:rsid w:val="00145780"/>
    <w:rsid w:val="00145989"/>
    <w:rsid w:val="00146327"/>
    <w:rsid w:val="00146F02"/>
    <w:rsid w:val="00146F2C"/>
    <w:rsid w:val="001475CB"/>
    <w:rsid w:val="001502BC"/>
    <w:rsid w:val="00150D1E"/>
    <w:rsid w:val="00150D46"/>
    <w:rsid w:val="00150EE4"/>
    <w:rsid w:val="00151152"/>
    <w:rsid w:val="00152D27"/>
    <w:rsid w:val="00153628"/>
    <w:rsid w:val="001540BA"/>
    <w:rsid w:val="00155540"/>
    <w:rsid w:val="00155AFA"/>
    <w:rsid w:val="001566F2"/>
    <w:rsid w:val="00157BA2"/>
    <w:rsid w:val="00160B84"/>
    <w:rsid w:val="00161017"/>
    <w:rsid w:val="001613DD"/>
    <w:rsid w:val="00163EB2"/>
    <w:rsid w:val="00164AA0"/>
    <w:rsid w:val="00164DDA"/>
    <w:rsid w:val="001656CC"/>
    <w:rsid w:val="001662B7"/>
    <w:rsid w:val="001663C7"/>
    <w:rsid w:val="00166D5B"/>
    <w:rsid w:val="0016712C"/>
    <w:rsid w:val="00167CCA"/>
    <w:rsid w:val="00170101"/>
    <w:rsid w:val="0017021A"/>
    <w:rsid w:val="00170703"/>
    <w:rsid w:val="00170DDC"/>
    <w:rsid w:val="0017118D"/>
    <w:rsid w:val="001712CC"/>
    <w:rsid w:val="00171AF6"/>
    <w:rsid w:val="00172A27"/>
    <w:rsid w:val="00172F22"/>
    <w:rsid w:val="001735C7"/>
    <w:rsid w:val="00173D13"/>
    <w:rsid w:val="00174690"/>
    <w:rsid w:val="00174784"/>
    <w:rsid w:val="001747BE"/>
    <w:rsid w:val="00175F58"/>
    <w:rsid w:val="001763B3"/>
    <w:rsid w:val="001772C1"/>
    <w:rsid w:val="00180456"/>
    <w:rsid w:val="001810E2"/>
    <w:rsid w:val="001818EF"/>
    <w:rsid w:val="00181A44"/>
    <w:rsid w:val="00181A50"/>
    <w:rsid w:val="00182310"/>
    <w:rsid w:val="00182D78"/>
    <w:rsid w:val="00183235"/>
    <w:rsid w:val="00183978"/>
    <w:rsid w:val="00183AEF"/>
    <w:rsid w:val="00184D3D"/>
    <w:rsid w:val="00184E31"/>
    <w:rsid w:val="00186BBE"/>
    <w:rsid w:val="001879F2"/>
    <w:rsid w:val="00190035"/>
    <w:rsid w:val="0019041C"/>
    <w:rsid w:val="00190C4E"/>
    <w:rsid w:val="00191584"/>
    <w:rsid w:val="001916E4"/>
    <w:rsid w:val="00193798"/>
    <w:rsid w:val="00193E13"/>
    <w:rsid w:val="00195094"/>
    <w:rsid w:val="00195167"/>
    <w:rsid w:val="00195A25"/>
    <w:rsid w:val="00195A86"/>
    <w:rsid w:val="001965A7"/>
    <w:rsid w:val="001969F2"/>
    <w:rsid w:val="00196D70"/>
    <w:rsid w:val="00197580"/>
    <w:rsid w:val="00197EA8"/>
    <w:rsid w:val="001A01B6"/>
    <w:rsid w:val="001A0B12"/>
    <w:rsid w:val="001A1D09"/>
    <w:rsid w:val="001A25C8"/>
    <w:rsid w:val="001A3EB3"/>
    <w:rsid w:val="001A4D48"/>
    <w:rsid w:val="001A5A88"/>
    <w:rsid w:val="001A5DA8"/>
    <w:rsid w:val="001A6AB8"/>
    <w:rsid w:val="001A7764"/>
    <w:rsid w:val="001B045F"/>
    <w:rsid w:val="001B0E53"/>
    <w:rsid w:val="001B0ED0"/>
    <w:rsid w:val="001B20DE"/>
    <w:rsid w:val="001B3E88"/>
    <w:rsid w:val="001B5FB1"/>
    <w:rsid w:val="001B68FB"/>
    <w:rsid w:val="001B6FB1"/>
    <w:rsid w:val="001C047E"/>
    <w:rsid w:val="001C08E4"/>
    <w:rsid w:val="001C0916"/>
    <w:rsid w:val="001C11F4"/>
    <w:rsid w:val="001C18CF"/>
    <w:rsid w:val="001C1A53"/>
    <w:rsid w:val="001C1AF2"/>
    <w:rsid w:val="001C20BA"/>
    <w:rsid w:val="001C22B5"/>
    <w:rsid w:val="001C39AF"/>
    <w:rsid w:val="001C787A"/>
    <w:rsid w:val="001C78E3"/>
    <w:rsid w:val="001D0B2F"/>
    <w:rsid w:val="001D0F0B"/>
    <w:rsid w:val="001D273B"/>
    <w:rsid w:val="001D2BC7"/>
    <w:rsid w:val="001D37E3"/>
    <w:rsid w:val="001D435D"/>
    <w:rsid w:val="001D43A8"/>
    <w:rsid w:val="001D46B2"/>
    <w:rsid w:val="001D4791"/>
    <w:rsid w:val="001D584D"/>
    <w:rsid w:val="001D6033"/>
    <w:rsid w:val="001E0BF3"/>
    <w:rsid w:val="001E1578"/>
    <w:rsid w:val="001E1686"/>
    <w:rsid w:val="001E1761"/>
    <w:rsid w:val="001E1983"/>
    <w:rsid w:val="001E1C59"/>
    <w:rsid w:val="001E1F73"/>
    <w:rsid w:val="001E2199"/>
    <w:rsid w:val="001E2316"/>
    <w:rsid w:val="001E23F9"/>
    <w:rsid w:val="001E27B1"/>
    <w:rsid w:val="001E2F91"/>
    <w:rsid w:val="001E309E"/>
    <w:rsid w:val="001E398A"/>
    <w:rsid w:val="001E39FB"/>
    <w:rsid w:val="001E3A76"/>
    <w:rsid w:val="001E509F"/>
    <w:rsid w:val="001E57A3"/>
    <w:rsid w:val="001E6A29"/>
    <w:rsid w:val="001E7AE0"/>
    <w:rsid w:val="001E7C22"/>
    <w:rsid w:val="001F01E8"/>
    <w:rsid w:val="001F0BF3"/>
    <w:rsid w:val="001F0D5E"/>
    <w:rsid w:val="001F0F2E"/>
    <w:rsid w:val="001F16F8"/>
    <w:rsid w:val="001F21F0"/>
    <w:rsid w:val="001F2717"/>
    <w:rsid w:val="001F3F3F"/>
    <w:rsid w:val="001F44F4"/>
    <w:rsid w:val="001F464D"/>
    <w:rsid w:val="001F7D64"/>
    <w:rsid w:val="00200284"/>
    <w:rsid w:val="00201740"/>
    <w:rsid w:val="00202AFC"/>
    <w:rsid w:val="00203DAA"/>
    <w:rsid w:val="00204379"/>
    <w:rsid w:val="00204748"/>
    <w:rsid w:val="002048D6"/>
    <w:rsid w:val="00205352"/>
    <w:rsid w:val="002053B5"/>
    <w:rsid w:val="00205919"/>
    <w:rsid w:val="00206B67"/>
    <w:rsid w:val="00206C9F"/>
    <w:rsid w:val="002102BE"/>
    <w:rsid w:val="00210B1B"/>
    <w:rsid w:val="00210DE3"/>
    <w:rsid w:val="00211045"/>
    <w:rsid w:val="00212052"/>
    <w:rsid w:val="002126B6"/>
    <w:rsid w:val="00212E05"/>
    <w:rsid w:val="00212ED2"/>
    <w:rsid w:val="002143CB"/>
    <w:rsid w:val="00214D3C"/>
    <w:rsid w:val="00214FEB"/>
    <w:rsid w:val="0021590B"/>
    <w:rsid w:val="00216AC2"/>
    <w:rsid w:val="00216BB7"/>
    <w:rsid w:val="00217173"/>
    <w:rsid w:val="00220CFB"/>
    <w:rsid w:val="0022121A"/>
    <w:rsid w:val="002221D4"/>
    <w:rsid w:val="002225F6"/>
    <w:rsid w:val="00223964"/>
    <w:rsid w:val="00223B0B"/>
    <w:rsid w:val="002242FA"/>
    <w:rsid w:val="00225014"/>
    <w:rsid w:val="00225666"/>
    <w:rsid w:val="00226B5C"/>
    <w:rsid w:val="00227BFF"/>
    <w:rsid w:val="00227DEA"/>
    <w:rsid w:val="00230467"/>
    <w:rsid w:val="00230BB3"/>
    <w:rsid w:val="00231503"/>
    <w:rsid w:val="002315A6"/>
    <w:rsid w:val="00231D77"/>
    <w:rsid w:val="00232CAA"/>
    <w:rsid w:val="002335EA"/>
    <w:rsid w:val="0023377A"/>
    <w:rsid w:val="002340E8"/>
    <w:rsid w:val="00234364"/>
    <w:rsid w:val="00235211"/>
    <w:rsid w:val="00235D8A"/>
    <w:rsid w:val="00237186"/>
    <w:rsid w:val="00237361"/>
    <w:rsid w:val="002378EC"/>
    <w:rsid w:val="00237EE5"/>
    <w:rsid w:val="00240C9B"/>
    <w:rsid w:val="002414E7"/>
    <w:rsid w:val="00242080"/>
    <w:rsid w:val="00242235"/>
    <w:rsid w:val="002424D8"/>
    <w:rsid w:val="002428D7"/>
    <w:rsid w:val="00242E6A"/>
    <w:rsid w:val="00243E14"/>
    <w:rsid w:val="0024503F"/>
    <w:rsid w:val="00245AAF"/>
    <w:rsid w:val="002460C2"/>
    <w:rsid w:val="0024679B"/>
    <w:rsid w:val="002467FD"/>
    <w:rsid w:val="00247559"/>
    <w:rsid w:val="0025139D"/>
    <w:rsid w:val="0025247A"/>
    <w:rsid w:val="00253721"/>
    <w:rsid w:val="002547BE"/>
    <w:rsid w:val="002550DE"/>
    <w:rsid w:val="00255253"/>
    <w:rsid w:val="00255B2A"/>
    <w:rsid w:val="002562F5"/>
    <w:rsid w:val="002571E6"/>
    <w:rsid w:val="0026011F"/>
    <w:rsid w:val="00260977"/>
    <w:rsid w:val="00260ADB"/>
    <w:rsid w:val="00265095"/>
    <w:rsid w:val="00270464"/>
    <w:rsid w:val="0027204E"/>
    <w:rsid w:val="0027248F"/>
    <w:rsid w:val="00272542"/>
    <w:rsid w:val="00273787"/>
    <w:rsid w:val="00274A62"/>
    <w:rsid w:val="00274D87"/>
    <w:rsid w:val="00276367"/>
    <w:rsid w:val="00276595"/>
    <w:rsid w:val="00277580"/>
    <w:rsid w:val="00277C34"/>
    <w:rsid w:val="00280D76"/>
    <w:rsid w:val="00282451"/>
    <w:rsid w:val="00282FB2"/>
    <w:rsid w:val="00283516"/>
    <w:rsid w:val="00284CAA"/>
    <w:rsid w:val="0028576A"/>
    <w:rsid w:val="00285987"/>
    <w:rsid w:val="00287DF1"/>
    <w:rsid w:val="0029170B"/>
    <w:rsid w:val="00291E79"/>
    <w:rsid w:val="0029248A"/>
    <w:rsid w:val="00292964"/>
    <w:rsid w:val="00293231"/>
    <w:rsid w:val="00294556"/>
    <w:rsid w:val="002945D8"/>
    <w:rsid w:val="00294EB9"/>
    <w:rsid w:val="00295896"/>
    <w:rsid w:val="002959EC"/>
    <w:rsid w:val="00295D58"/>
    <w:rsid w:val="002968CF"/>
    <w:rsid w:val="00296EF4"/>
    <w:rsid w:val="002972C0"/>
    <w:rsid w:val="002979DD"/>
    <w:rsid w:val="002A103B"/>
    <w:rsid w:val="002A14AF"/>
    <w:rsid w:val="002A321D"/>
    <w:rsid w:val="002A3506"/>
    <w:rsid w:val="002A3CBC"/>
    <w:rsid w:val="002A48F3"/>
    <w:rsid w:val="002A546D"/>
    <w:rsid w:val="002A565F"/>
    <w:rsid w:val="002A5CCC"/>
    <w:rsid w:val="002A64AF"/>
    <w:rsid w:val="002A7174"/>
    <w:rsid w:val="002A7E11"/>
    <w:rsid w:val="002B11C3"/>
    <w:rsid w:val="002B24C2"/>
    <w:rsid w:val="002B2768"/>
    <w:rsid w:val="002B2FEC"/>
    <w:rsid w:val="002B3E2B"/>
    <w:rsid w:val="002B4E83"/>
    <w:rsid w:val="002B5D76"/>
    <w:rsid w:val="002B62FD"/>
    <w:rsid w:val="002B6472"/>
    <w:rsid w:val="002B6BA6"/>
    <w:rsid w:val="002B6F01"/>
    <w:rsid w:val="002C0530"/>
    <w:rsid w:val="002C076E"/>
    <w:rsid w:val="002C07D0"/>
    <w:rsid w:val="002C143C"/>
    <w:rsid w:val="002C1912"/>
    <w:rsid w:val="002C1B38"/>
    <w:rsid w:val="002C25D8"/>
    <w:rsid w:val="002C2BBB"/>
    <w:rsid w:val="002C357E"/>
    <w:rsid w:val="002C3E21"/>
    <w:rsid w:val="002C3EAE"/>
    <w:rsid w:val="002C40FF"/>
    <w:rsid w:val="002C44E9"/>
    <w:rsid w:val="002C477A"/>
    <w:rsid w:val="002C4A64"/>
    <w:rsid w:val="002C4B00"/>
    <w:rsid w:val="002C5CB1"/>
    <w:rsid w:val="002C5E13"/>
    <w:rsid w:val="002C5EBF"/>
    <w:rsid w:val="002D0896"/>
    <w:rsid w:val="002D10B5"/>
    <w:rsid w:val="002D1786"/>
    <w:rsid w:val="002D3048"/>
    <w:rsid w:val="002D3294"/>
    <w:rsid w:val="002D47F3"/>
    <w:rsid w:val="002D5FFD"/>
    <w:rsid w:val="002D6918"/>
    <w:rsid w:val="002D7383"/>
    <w:rsid w:val="002E03E2"/>
    <w:rsid w:val="002E07ED"/>
    <w:rsid w:val="002E3A71"/>
    <w:rsid w:val="002E3FFC"/>
    <w:rsid w:val="002E4C92"/>
    <w:rsid w:val="002E4D88"/>
    <w:rsid w:val="002E4FDC"/>
    <w:rsid w:val="002E549E"/>
    <w:rsid w:val="002E5791"/>
    <w:rsid w:val="002E62A7"/>
    <w:rsid w:val="002E64B2"/>
    <w:rsid w:val="002E68EC"/>
    <w:rsid w:val="002E74B5"/>
    <w:rsid w:val="002E772A"/>
    <w:rsid w:val="002F0CAE"/>
    <w:rsid w:val="002F0F07"/>
    <w:rsid w:val="002F1362"/>
    <w:rsid w:val="002F1FF7"/>
    <w:rsid w:val="002F2CF3"/>
    <w:rsid w:val="002F6F89"/>
    <w:rsid w:val="003016B5"/>
    <w:rsid w:val="00302500"/>
    <w:rsid w:val="0030392B"/>
    <w:rsid w:val="00304728"/>
    <w:rsid w:val="003047BC"/>
    <w:rsid w:val="00304EE6"/>
    <w:rsid w:val="003052FD"/>
    <w:rsid w:val="00305807"/>
    <w:rsid w:val="00306DD9"/>
    <w:rsid w:val="00306E8F"/>
    <w:rsid w:val="003079E4"/>
    <w:rsid w:val="00307CC0"/>
    <w:rsid w:val="00307DF3"/>
    <w:rsid w:val="0031093B"/>
    <w:rsid w:val="0031267B"/>
    <w:rsid w:val="00313747"/>
    <w:rsid w:val="003140F3"/>
    <w:rsid w:val="0031464F"/>
    <w:rsid w:val="0031491D"/>
    <w:rsid w:val="00316590"/>
    <w:rsid w:val="003168E8"/>
    <w:rsid w:val="00316B96"/>
    <w:rsid w:val="003171CE"/>
    <w:rsid w:val="00317F11"/>
    <w:rsid w:val="0032012F"/>
    <w:rsid w:val="003204B5"/>
    <w:rsid w:val="00320747"/>
    <w:rsid w:val="003210E3"/>
    <w:rsid w:val="0032149B"/>
    <w:rsid w:val="0032171C"/>
    <w:rsid w:val="003218DC"/>
    <w:rsid w:val="00322663"/>
    <w:rsid w:val="003232CA"/>
    <w:rsid w:val="003232CD"/>
    <w:rsid w:val="003241E3"/>
    <w:rsid w:val="003242BF"/>
    <w:rsid w:val="00324345"/>
    <w:rsid w:val="00325EA2"/>
    <w:rsid w:val="003264E3"/>
    <w:rsid w:val="00326C09"/>
    <w:rsid w:val="00326DBE"/>
    <w:rsid w:val="00327EC1"/>
    <w:rsid w:val="003302FD"/>
    <w:rsid w:val="003309CC"/>
    <w:rsid w:val="00330ACE"/>
    <w:rsid w:val="00331BE2"/>
    <w:rsid w:val="00332DED"/>
    <w:rsid w:val="00333ED6"/>
    <w:rsid w:val="0033444D"/>
    <w:rsid w:val="0033509F"/>
    <w:rsid w:val="00340462"/>
    <w:rsid w:val="00341716"/>
    <w:rsid w:val="00343075"/>
    <w:rsid w:val="00343788"/>
    <w:rsid w:val="00343CEA"/>
    <w:rsid w:val="003442F4"/>
    <w:rsid w:val="0034476F"/>
    <w:rsid w:val="003449A1"/>
    <w:rsid w:val="00344C67"/>
    <w:rsid w:val="00345A46"/>
    <w:rsid w:val="00347BE6"/>
    <w:rsid w:val="00350356"/>
    <w:rsid w:val="003504FE"/>
    <w:rsid w:val="00350E13"/>
    <w:rsid w:val="00352463"/>
    <w:rsid w:val="0035322E"/>
    <w:rsid w:val="00353427"/>
    <w:rsid w:val="00354ADC"/>
    <w:rsid w:val="00354EF9"/>
    <w:rsid w:val="00354F38"/>
    <w:rsid w:val="00355269"/>
    <w:rsid w:val="00355CFF"/>
    <w:rsid w:val="003563F3"/>
    <w:rsid w:val="00356BD8"/>
    <w:rsid w:val="00356CF5"/>
    <w:rsid w:val="00357217"/>
    <w:rsid w:val="003573E8"/>
    <w:rsid w:val="003604DE"/>
    <w:rsid w:val="00360F89"/>
    <w:rsid w:val="00362FEA"/>
    <w:rsid w:val="0036319C"/>
    <w:rsid w:val="0036383E"/>
    <w:rsid w:val="003641CF"/>
    <w:rsid w:val="00364B7C"/>
    <w:rsid w:val="00365895"/>
    <w:rsid w:val="0036590F"/>
    <w:rsid w:val="00365F69"/>
    <w:rsid w:val="003668F9"/>
    <w:rsid w:val="00366E8A"/>
    <w:rsid w:val="003671AC"/>
    <w:rsid w:val="00367213"/>
    <w:rsid w:val="003673D3"/>
    <w:rsid w:val="00367ABC"/>
    <w:rsid w:val="00367B48"/>
    <w:rsid w:val="00370631"/>
    <w:rsid w:val="00370A2E"/>
    <w:rsid w:val="00370B60"/>
    <w:rsid w:val="00371B9E"/>
    <w:rsid w:val="0037202A"/>
    <w:rsid w:val="00374413"/>
    <w:rsid w:val="003746A8"/>
    <w:rsid w:val="00375A5A"/>
    <w:rsid w:val="003773A7"/>
    <w:rsid w:val="003839BD"/>
    <w:rsid w:val="0038478B"/>
    <w:rsid w:val="00385FBB"/>
    <w:rsid w:val="00386526"/>
    <w:rsid w:val="00387150"/>
    <w:rsid w:val="00387B54"/>
    <w:rsid w:val="00387C2A"/>
    <w:rsid w:val="00387E6A"/>
    <w:rsid w:val="003933A4"/>
    <w:rsid w:val="00393EF7"/>
    <w:rsid w:val="00395436"/>
    <w:rsid w:val="0039578F"/>
    <w:rsid w:val="00395BA7"/>
    <w:rsid w:val="00397533"/>
    <w:rsid w:val="003A06EB"/>
    <w:rsid w:val="003A0759"/>
    <w:rsid w:val="003A0D0E"/>
    <w:rsid w:val="003A14F2"/>
    <w:rsid w:val="003A2CBB"/>
    <w:rsid w:val="003A30CA"/>
    <w:rsid w:val="003A34E3"/>
    <w:rsid w:val="003A3892"/>
    <w:rsid w:val="003A3E9B"/>
    <w:rsid w:val="003A41F8"/>
    <w:rsid w:val="003A453F"/>
    <w:rsid w:val="003A5460"/>
    <w:rsid w:val="003A5D2C"/>
    <w:rsid w:val="003A5F79"/>
    <w:rsid w:val="003A708E"/>
    <w:rsid w:val="003A7431"/>
    <w:rsid w:val="003A76E7"/>
    <w:rsid w:val="003A7D18"/>
    <w:rsid w:val="003B0994"/>
    <w:rsid w:val="003B134E"/>
    <w:rsid w:val="003B1AEE"/>
    <w:rsid w:val="003B1C1F"/>
    <w:rsid w:val="003B2243"/>
    <w:rsid w:val="003B28C2"/>
    <w:rsid w:val="003B2A79"/>
    <w:rsid w:val="003B2F96"/>
    <w:rsid w:val="003B3148"/>
    <w:rsid w:val="003B357D"/>
    <w:rsid w:val="003B386B"/>
    <w:rsid w:val="003B4299"/>
    <w:rsid w:val="003B4C6F"/>
    <w:rsid w:val="003B51F5"/>
    <w:rsid w:val="003B51F8"/>
    <w:rsid w:val="003B62F4"/>
    <w:rsid w:val="003B659C"/>
    <w:rsid w:val="003B71F4"/>
    <w:rsid w:val="003B7865"/>
    <w:rsid w:val="003C004C"/>
    <w:rsid w:val="003C01CA"/>
    <w:rsid w:val="003C0616"/>
    <w:rsid w:val="003C1CBC"/>
    <w:rsid w:val="003C1E84"/>
    <w:rsid w:val="003C26D7"/>
    <w:rsid w:val="003C29A2"/>
    <w:rsid w:val="003C2A9C"/>
    <w:rsid w:val="003C3603"/>
    <w:rsid w:val="003C3D85"/>
    <w:rsid w:val="003C4DEA"/>
    <w:rsid w:val="003C5342"/>
    <w:rsid w:val="003C5A70"/>
    <w:rsid w:val="003C6699"/>
    <w:rsid w:val="003C7359"/>
    <w:rsid w:val="003C746E"/>
    <w:rsid w:val="003C77EB"/>
    <w:rsid w:val="003D1E07"/>
    <w:rsid w:val="003D26FD"/>
    <w:rsid w:val="003D2811"/>
    <w:rsid w:val="003D2850"/>
    <w:rsid w:val="003D306E"/>
    <w:rsid w:val="003D3342"/>
    <w:rsid w:val="003D4C31"/>
    <w:rsid w:val="003D5252"/>
    <w:rsid w:val="003D6E3B"/>
    <w:rsid w:val="003E017D"/>
    <w:rsid w:val="003E23C3"/>
    <w:rsid w:val="003E2A2E"/>
    <w:rsid w:val="003E420E"/>
    <w:rsid w:val="003E432C"/>
    <w:rsid w:val="003E4AC9"/>
    <w:rsid w:val="003E4D6D"/>
    <w:rsid w:val="003E5479"/>
    <w:rsid w:val="003E65F7"/>
    <w:rsid w:val="003E68D9"/>
    <w:rsid w:val="003E72D6"/>
    <w:rsid w:val="003E7EBC"/>
    <w:rsid w:val="003F0B69"/>
    <w:rsid w:val="003F1386"/>
    <w:rsid w:val="003F15BA"/>
    <w:rsid w:val="003F16DF"/>
    <w:rsid w:val="003F19B7"/>
    <w:rsid w:val="003F1B5D"/>
    <w:rsid w:val="003F1CAB"/>
    <w:rsid w:val="003F218F"/>
    <w:rsid w:val="003F2989"/>
    <w:rsid w:val="003F2E62"/>
    <w:rsid w:val="003F3600"/>
    <w:rsid w:val="003F3ECE"/>
    <w:rsid w:val="003F3F07"/>
    <w:rsid w:val="003F5304"/>
    <w:rsid w:val="003F55C9"/>
    <w:rsid w:val="003F5EB4"/>
    <w:rsid w:val="003F6704"/>
    <w:rsid w:val="003F7DC8"/>
    <w:rsid w:val="00400338"/>
    <w:rsid w:val="004003B7"/>
    <w:rsid w:val="00400AF8"/>
    <w:rsid w:val="0040235B"/>
    <w:rsid w:val="00403823"/>
    <w:rsid w:val="004042F9"/>
    <w:rsid w:val="00405967"/>
    <w:rsid w:val="0040605A"/>
    <w:rsid w:val="00410855"/>
    <w:rsid w:val="00411200"/>
    <w:rsid w:val="0041229E"/>
    <w:rsid w:val="0041409C"/>
    <w:rsid w:val="0041426E"/>
    <w:rsid w:val="0041545F"/>
    <w:rsid w:val="00415528"/>
    <w:rsid w:val="00416015"/>
    <w:rsid w:val="00416B34"/>
    <w:rsid w:val="0042081F"/>
    <w:rsid w:val="004211C9"/>
    <w:rsid w:val="00421296"/>
    <w:rsid w:val="00422026"/>
    <w:rsid w:val="0042211B"/>
    <w:rsid w:val="004222BA"/>
    <w:rsid w:val="00422A48"/>
    <w:rsid w:val="00424E87"/>
    <w:rsid w:val="004251AE"/>
    <w:rsid w:val="0042563A"/>
    <w:rsid w:val="00425765"/>
    <w:rsid w:val="00426194"/>
    <w:rsid w:val="00427131"/>
    <w:rsid w:val="004277BA"/>
    <w:rsid w:val="00427E22"/>
    <w:rsid w:val="0043176C"/>
    <w:rsid w:val="00431BEC"/>
    <w:rsid w:val="00431FAC"/>
    <w:rsid w:val="0043301D"/>
    <w:rsid w:val="00433404"/>
    <w:rsid w:val="00433638"/>
    <w:rsid w:val="00433C4C"/>
    <w:rsid w:val="00434010"/>
    <w:rsid w:val="004355DD"/>
    <w:rsid w:val="00436EA3"/>
    <w:rsid w:val="00440429"/>
    <w:rsid w:val="00440DAE"/>
    <w:rsid w:val="00441565"/>
    <w:rsid w:val="00442074"/>
    <w:rsid w:val="0044272F"/>
    <w:rsid w:val="00442B30"/>
    <w:rsid w:val="00445D9A"/>
    <w:rsid w:val="004469A9"/>
    <w:rsid w:val="004473FE"/>
    <w:rsid w:val="00450275"/>
    <w:rsid w:val="004502D8"/>
    <w:rsid w:val="00450E97"/>
    <w:rsid w:val="00452D8A"/>
    <w:rsid w:val="00453A4B"/>
    <w:rsid w:val="00455AF6"/>
    <w:rsid w:val="00455B3A"/>
    <w:rsid w:val="00456080"/>
    <w:rsid w:val="00457648"/>
    <w:rsid w:val="00460046"/>
    <w:rsid w:val="004608B3"/>
    <w:rsid w:val="00460A2D"/>
    <w:rsid w:val="00462652"/>
    <w:rsid w:val="00463D29"/>
    <w:rsid w:val="00464A8D"/>
    <w:rsid w:val="00465A6B"/>
    <w:rsid w:val="004665C7"/>
    <w:rsid w:val="004667D5"/>
    <w:rsid w:val="00466F63"/>
    <w:rsid w:val="00467D31"/>
    <w:rsid w:val="00470717"/>
    <w:rsid w:val="0047158C"/>
    <w:rsid w:val="00471B69"/>
    <w:rsid w:val="0047439E"/>
    <w:rsid w:val="00475629"/>
    <w:rsid w:val="00475CE0"/>
    <w:rsid w:val="0047604F"/>
    <w:rsid w:val="004775BF"/>
    <w:rsid w:val="00477655"/>
    <w:rsid w:val="00477BC2"/>
    <w:rsid w:val="00477CF0"/>
    <w:rsid w:val="0048048B"/>
    <w:rsid w:val="00480998"/>
    <w:rsid w:val="00480CB2"/>
    <w:rsid w:val="00480F34"/>
    <w:rsid w:val="00481899"/>
    <w:rsid w:val="004819B5"/>
    <w:rsid w:val="00481A52"/>
    <w:rsid w:val="00481A67"/>
    <w:rsid w:val="00481A6F"/>
    <w:rsid w:val="00481CAD"/>
    <w:rsid w:val="00482B89"/>
    <w:rsid w:val="004839CD"/>
    <w:rsid w:val="00483F4B"/>
    <w:rsid w:val="00484415"/>
    <w:rsid w:val="00484BBD"/>
    <w:rsid w:val="00490624"/>
    <w:rsid w:val="00490900"/>
    <w:rsid w:val="00490A7B"/>
    <w:rsid w:val="00491EB8"/>
    <w:rsid w:val="004921C2"/>
    <w:rsid w:val="004925C8"/>
    <w:rsid w:val="00492B0C"/>
    <w:rsid w:val="0049440E"/>
    <w:rsid w:val="00494993"/>
    <w:rsid w:val="00494AEE"/>
    <w:rsid w:val="00495BB8"/>
    <w:rsid w:val="00496105"/>
    <w:rsid w:val="004962FA"/>
    <w:rsid w:val="00496AF0"/>
    <w:rsid w:val="004A24A6"/>
    <w:rsid w:val="004A2DE8"/>
    <w:rsid w:val="004A3D82"/>
    <w:rsid w:val="004A4F46"/>
    <w:rsid w:val="004A69EF"/>
    <w:rsid w:val="004A768A"/>
    <w:rsid w:val="004B37D4"/>
    <w:rsid w:val="004B3F6B"/>
    <w:rsid w:val="004B41C6"/>
    <w:rsid w:val="004B4716"/>
    <w:rsid w:val="004B4A1E"/>
    <w:rsid w:val="004B5B1E"/>
    <w:rsid w:val="004B759C"/>
    <w:rsid w:val="004B7DCA"/>
    <w:rsid w:val="004C0220"/>
    <w:rsid w:val="004C0B2C"/>
    <w:rsid w:val="004C18F8"/>
    <w:rsid w:val="004C3E5D"/>
    <w:rsid w:val="004C4640"/>
    <w:rsid w:val="004C4D43"/>
    <w:rsid w:val="004C5352"/>
    <w:rsid w:val="004C55DD"/>
    <w:rsid w:val="004C5C99"/>
    <w:rsid w:val="004C6118"/>
    <w:rsid w:val="004C696F"/>
    <w:rsid w:val="004C6BBE"/>
    <w:rsid w:val="004C6F3C"/>
    <w:rsid w:val="004C74DC"/>
    <w:rsid w:val="004C75F5"/>
    <w:rsid w:val="004C78D0"/>
    <w:rsid w:val="004C7DDF"/>
    <w:rsid w:val="004D0196"/>
    <w:rsid w:val="004D0ABE"/>
    <w:rsid w:val="004D2173"/>
    <w:rsid w:val="004D244D"/>
    <w:rsid w:val="004D338F"/>
    <w:rsid w:val="004D3A12"/>
    <w:rsid w:val="004D42B5"/>
    <w:rsid w:val="004D56BB"/>
    <w:rsid w:val="004D65EE"/>
    <w:rsid w:val="004D691A"/>
    <w:rsid w:val="004D6BCE"/>
    <w:rsid w:val="004D6C06"/>
    <w:rsid w:val="004D79E5"/>
    <w:rsid w:val="004D7A3E"/>
    <w:rsid w:val="004E13AE"/>
    <w:rsid w:val="004E1A2F"/>
    <w:rsid w:val="004E1AC2"/>
    <w:rsid w:val="004E1C0D"/>
    <w:rsid w:val="004E2062"/>
    <w:rsid w:val="004E237F"/>
    <w:rsid w:val="004E248D"/>
    <w:rsid w:val="004E2C16"/>
    <w:rsid w:val="004E338E"/>
    <w:rsid w:val="004E4C86"/>
    <w:rsid w:val="004E4DF5"/>
    <w:rsid w:val="004E54B7"/>
    <w:rsid w:val="004E55ED"/>
    <w:rsid w:val="004E5A54"/>
    <w:rsid w:val="004E5AB9"/>
    <w:rsid w:val="004E641D"/>
    <w:rsid w:val="004E666E"/>
    <w:rsid w:val="004F014A"/>
    <w:rsid w:val="004F04A4"/>
    <w:rsid w:val="004F0E43"/>
    <w:rsid w:val="004F0E54"/>
    <w:rsid w:val="004F1269"/>
    <w:rsid w:val="004F148B"/>
    <w:rsid w:val="004F15DF"/>
    <w:rsid w:val="004F1C64"/>
    <w:rsid w:val="004F2288"/>
    <w:rsid w:val="004F25EC"/>
    <w:rsid w:val="004F2DE7"/>
    <w:rsid w:val="004F3EB8"/>
    <w:rsid w:val="004F3F0F"/>
    <w:rsid w:val="004F470B"/>
    <w:rsid w:val="004F49E7"/>
    <w:rsid w:val="004F5086"/>
    <w:rsid w:val="004F54C1"/>
    <w:rsid w:val="004F5F86"/>
    <w:rsid w:val="004F6E70"/>
    <w:rsid w:val="004F7600"/>
    <w:rsid w:val="004F76EF"/>
    <w:rsid w:val="004F7AAC"/>
    <w:rsid w:val="00500BFD"/>
    <w:rsid w:val="00501684"/>
    <w:rsid w:val="00501C8E"/>
    <w:rsid w:val="00501DC4"/>
    <w:rsid w:val="0050283A"/>
    <w:rsid w:val="00502D7C"/>
    <w:rsid w:val="00502E5B"/>
    <w:rsid w:val="00502F81"/>
    <w:rsid w:val="00503F1B"/>
    <w:rsid w:val="00504712"/>
    <w:rsid w:val="00504D67"/>
    <w:rsid w:val="00505A25"/>
    <w:rsid w:val="00505C50"/>
    <w:rsid w:val="005069F0"/>
    <w:rsid w:val="00506A13"/>
    <w:rsid w:val="00506A53"/>
    <w:rsid w:val="00510BB7"/>
    <w:rsid w:val="00511681"/>
    <w:rsid w:val="00511929"/>
    <w:rsid w:val="00512A62"/>
    <w:rsid w:val="00512C62"/>
    <w:rsid w:val="00513423"/>
    <w:rsid w:val="00513A8E"/>
    <w:rsid w:val="00513B1C"/>
    <w:rsid w:val="00515351"/>
    <w:rsid w:val="0051588D"/>
    <w:rsid w:val="00515BE8"/>
    <w:rsid w:val="0051644D"/>
    <w:rsid w:val="00516A6E"/>
    <w:rsid w:val="005170B5"/>
    <w:rsid w:val="005205F6"/>
    <w:rsid w:val="00520A33"/>
    <w:rsid w:val="00521116"/>
    <w:rsid w:val="005224A1"/>
    <w:rsid w:val="00522A86"/>
    <w:rsid w:val="00522CE3"/>
    <w:rsid w:val="00523E7A"/>
    <w:rsid w:val="00524853"/>
    <w:rsid w:val="005252F1"/>
    <w:rsid w:val="00526134"/>
    <w:rsid w:val="00526451"/>
    <w:rsid w:val="00532103"/>
    <w:rsid w:val="00532F04"/>
    <w:rsid w:val="00533472"/>
    <w:rsid w:val="00533518"/>
    <w:rsid w:val="00534DBF"/>
    <w:rsid w:val="005357FD"/>
    <w:rsid w:val="00535EA7"/>
    <w:rsid w:val="005365B2"/>
    <w:rsid w:val="00536654"/>
    <w:rsid w:val="005371C1"/>
    <w:rsid w:val="00537834"/>
    <w:rsid w:val="005411C1"/>
    <w:rsid w:val="00541D1C"/>
    <w:rsid w:val="00541EEC"/>
    <w:rsid w:val="00541FC4"/>
    <w:rsid w:val="00541FD5"/>
    <w:rsid w:val="005420A4"/>
    <w:rsid w:val="00542AF9"/>
    <w:rsid w:val="005431DB"/>
    <w:rsid w:val="005435CB"/>
    <w:rsid w:val="00544AAD"/>
    <w:rsid w:val="00544BE2"/>
    <w:rsid w:val="0054508B"/>
    <w:rsid w:val="00545106"/>
    <w:rsid w:val="005451D7"/>
    <w:rsid w:val="005454D8"/>
    <w:rsid w:val="00545ACE"/>
    <w:rsid w:val="005467E3"/>
    <w:rsid w:val="00546A69"/>
    <w:rsid w:val="00546CBB"/>
    <w:rsid w:val="005476C8"/>
    <w:rsid w:val="0054774A"/>
    <w:rsid w:val="00551107"/>
    <w:rsid w:val="005518B4"/>
    <w:rsid w:val="00552213"/>
    <w:rsid w:val="00552A8A"/>
    <w:rsid w:val="005546E1"/>
    <w:rsid w:val="00554DD6"/>
    <w:rsid w:val="00555411"/>
    <w:rsid w:val="00556914"/>
    <w:rsid w:val="00556B9C"/>
    <w:rsid w:val="0055711A"/>
    <w:rsid w:val="00557654"/>
    <w:rsid w:val="005606E1"/>
    <w:rsid w:val="00560A36"/>
    <w:rsid w:val="00560A79"/>
    <w:rsid w:val="005622DC"/>
    <w:rsid w:val="0056252C"/>
    <w:rsid w:val="00564113"/>
    <w:rsid w:val="005643E8"/>
    <w:rsid w:val="005644F8"/>
    <w:rsid w:val="00564D6C"/>
    <w:rsid w:val="005654BE"/>
    <w:rsid w:val="00565879"/>
    <w:rsid w:val="00566529"/>
    <w:rsid w:val="00566961"/>
    <w:rsid w:val="005669DC"/>
    <w:rsid w:val="00567533"/>
    <w:rsid w:val="00571232"/>
    <w:rsid w:val="00571DBA"/>
    <w:rsid w:val="005723DC"/>
    <w:rsid w:val="0057263D"/>
    <w:rsid w:val="005726F3"/>
    <w:rsid w:val="005735C3"/>
    <w:rsid w:val="005736C2"/>
    <w:rsid w:val="00573BF3"/>
    <w:rsid w:val="00574DC1"/>
    <w:rsid w:val="00575895"/>
    <w:rsid w:val="00575B2A"/>
    <w:rsid w:val="00577C3A"/>
    <w:rsid w:val="005802E6"/>
    <w:rsid w:val="00580F6D"/>
    <w:rsid w:val="00581A05"/>
    <w:rsid w:val="00581D03"/>
    <w:rsid w:val="0058256A"/>
    <w:rsid w:val="005825B3"/>
    <w:rsid w:val="00582816"/>
    <w:rsid w:val="00582ABD"/>
    <w:rsid w:val="00583539"/>
    <w:rsid w:val="00583C49"/>
    <w:rsid w:val="00584DB3"/>
    <w:rsid w:val="00585A68"/>
    <w:rsid w:val="00586E5B"/>
    <w:rsid w:val="005874BA"/>
    <w:rsid w:val="005876EF"/>
    <w:rsid w:val="005878B8"/>
    <w:rsid w:val="00587995"/>
    <w:rsid w:val="005905B4"/>
    <w:rsid w:val="00590773"/>
    <w:rsid w:val="00590BC0"/>
    <w:rsid w:val="00590DD9"/>
    <w:rsid w:val="005915D7"/>
    <w:rsid w:val="005917E3"/>
    <w:rsid w:val="005926F2"/>
    <w:rsid w:val="0059280A"/>
    <w:rsid w:val="005930E6"/>
    <w:rsid w:val="00593C63"/>
    <w:rsid w:val="00594BFF"/>
    <w:rsid w:val="00595B0C"/>
    <w:rsid w:val="005967A6"/>
    <w:rsid w:val="005967EE"/>
    <w:rsid w:val="00596D62"/>
    <w:rsid w:val="005977A9"/>
    <w:rsid w:val="005A09E8"/>
    <w:rsid w:val="005A0A0A"/>
    <w:rsid w:val="005A0B3D"/>
    <w:rsid w:val="005A2394"/>
    <w:rsid w:val="005A2822"/>
    <w:rsid w:val="005A308C"/>
    <w:rsid w:val="005A3ADA"/>
    <w:rsid w:val="005A4204"/>
    <w:rsid w:val="005A4528"/>
    <w:rsid w:val="005A4E57"/>
    <w:rsid w:val="005A4F9A"/>
    <w:rsid w:val="005A6080"/>
    <w:rsid w:val="005A63E9"/>
    <w:rsid w:val="005A6538"/>
    <w:rsid w:val="005A6690"/>
    <w:rsid w:val="005A66AD"/>
    <w:rsid w:val="005A68EE"/>
    <w:rsid w:val="005B0817"/>
    <w:rsid w:val="005B0D5E"/>
    <w:rsid w:val="005B10DB"/>
    <w:rsid w:val="005B175C"/>
    <w:rsid w:val="005B1867"/>
    <w:rsid w:val="005B1CE1"/>
    <w:rsid w:val="005B3E38"/>
    <w:rsid w:val="005B47D1"/>
    <w:rsid w:val="005B5690"/>
    <w:rsid w:val="005B5B8E"/>
    <w:rsid w:val="005B6045"/>
    <w:rsid w:val="005B6BD8"/>
    <w:rsid w:val="005B7AAB"/>
    <w:rsid w:val="005B7B7A"/>
    <w:rsid w:val="005B7F8C"/>
    <w:rsid w:val="005C0C37"/>
    <w:rsid w:val="005C29C8"/>
    <w:rsid w:val="005C2CFF"/>
    <w:rsid w:val="005C4A34"/>
    <w:rsid w:val="005C4CDD"/>
    <w:rsid w:val="005C512B"/>
    <w:rsid w:val="005C56A4"/>
    <w:rsid w:val="005C613B"/>
    <w:rsid w:val="005C619B"/>
    <w:rsid w:val="005C62C9"/>
    <w:rsid w:val="005C6E9F"/>
    <w:rsid w:val="005C6EB2"/>
    <w:rsid w:val="005C6F03"/>
    <w:rsid w:val="005C701B"/>
    <w:rsid w:val="005C7F3D"/>
    <w:rsid w:val="005D0515"/>
    <w:rsid w:val="005D0E6E"/>
    <w:rsid w:val="005D1A5D"/>
    <w:rsid w:val="005D2E87"/>
    <w:rsid w:val="005D4956"/>
    <w:rsid w:val="005D515E"/>
    <w:rsid w:val="005D5E0B"/>
    <w:rsid w:val="005D6B11"/>
    <w:rsid w:val="005D6D07"/>
    <w:rsid w:val="005D72EC"/>
    <w:rsid w:val="005D7846"/>
    <w:rsid w:val="005D79BB"/>
    <w:rsid w:val="005E0481"/>
    <w:rsid w:val="005E0D69"/>
    <w:rsid w:val="005E141A"/>
    <w:rsid w:val="005E2553"/>
    <w:rsid w:val="005E30D1"/>
    <w:rsid w:val="005E4137"/>
    <w:rsid w:val="005E4AAD"/>
    <w:rsid w:val="005E4ABE"/>
    <w:rsid w:val="005E4DDD"/>
    <w:rsid w:val="005E5088"/>
    <w:rsid w:val="005E60CE"/>
    <w:rsid w:val="005E60F5"/>
    <w:rsid w:val="005E756D"/>
    <w:rsid w:val="005E7B45"/>
    <w:rsid w:val="005F1172"/>
    <w:rsid w:val="005F163A"/>
    <w:rsid w:val="005F2E1E"/>
    <w:rsid w:val="005F2F4F"/>
    <w:rsid w:val="005F3006"/>
    <w:rsid w:val="005F3867"/>
    <w:rsid w:val="005F3CFC"/>
    <w:rsid w:val="005F52E4"/>
    <w:rsid w:val="005F5B90"/>
    <w:rsid w:val="005F6E77"/>
    <w:rsid w:val="005F7518"/>
    <w:rsid w:val="005F77A5"/>
    <w:rsid w:val="00600FF3"/>
    <w:rsid w:val="006020B8"/>
    <w:rsid w:val="006021F4"/>
    <w:rsid w:val="006023A2"/>
    <w:rsid w:val="006039B0"/>
    <w:rsid w:val="0060542B"/>
    <w:rsid w:val="00605AC8"/>
    <w:rsid w:val="0060710A"/>
    <w:rsid w:val="00607642"/>
    <w:rsid w:val="0061157C"/>
    <w:rsid w:val="006116D6"/>
    <w:rsid w:val="00611BD5"/>
    <w:rsid w:val="00611D13"/>
    <w:rsid w:val="006122CB"/>
    <w:rsid w:val="006124EC"/>
    <w:rsid w:val="00612533"/>
    <w:rsid w:val="00612559"/>
    <w:rsid w:val="00612BC5"/>
    <w:rsid w:val="00612C62"/>
    <w:rsid w:val="00612E00"/>
    <w:rsid w:val="006137A4"/>
    <w:rsid w:val="00613885"/>
    <w:rsid w:val="0061497F"/>
    <w:rsid w:val="0061525B"/>
    <w:rsid w:val="00615FC3"/>
    <w:rsid w:val="00616B49"/>
    <w:rsid w:val="00617997"/>
    <w:rsid w:val="00617E4F"/>
    <w:rsid w:val="006205D7"/>
    <w:rsid w:val="006212F4"/>
    <w:rsid w:val="0062136D"/>
    <w:rsid w:val="00621FAA"/>
    <w:rsid w:val="00622BCB"/>
    <w:rsid w:val="006234A2"/>
    <w:rsid w:val="00624B01"/>
    <w:rsid w:val="006253D5"/>
    <w:rsid w:val="0062542D"/>
    <w:rsid w:val="00625F2E"/>
    <w:rsid w:val="00626F5F"/>
    <w:rsid w:val="00627BCD"/>
    <w:rsid w:val="00627D66"/>
    <w:rsid w:val="00631079"/>
    <w:rsid w:val="006311DA"/>
    <w:rsid w:val="00631DCB"/>
    <w:rsid w:val="00631E35"/>
    <w:rsid w:val="00632425"/>
    <w:rsid w:val="006324C5"/>
    <w:rsid w:val="00632B80"/>
    <w:rsid w:val="00633369"/>
    <w:rsid w:val="00634EB6"/>
    <w:rsid w:val="0063533C"/>
    <w:rsid w:val="0063560C"/>
    <w:rsid w:val="00636593"/>
    <w:rsid w:val="00640208"/>
    <w:rsid w:val="00641AC2"/>
    <w:rsid w:val="00641B22"/>
    <w:rsid w:val="00643E26"/>
    <w:rsid w:val="00644C53"/>
    <w:rsid w:val="006453A3"/>
    <w:rsid w:val="006454A6"/>
    <w:rsid w:val="006460DA"/>
    <w:rsid w:val="00646562"/>
    <w:rsid w:val="00646758"/>
    <w:rsid w:val="00646A98"/>
    <w:rsid w:val="0064712A"/>
    <w:rsid w:val="006471BB"/>
    <w:rsid w:val="00647FDB"/>
    <w:rsid w:val="00650D4C"/>
    <w:rsid w:val="00651518"/>
    <w:rsid w:val="00651589"/>
    <w:rsid w:val="00651BA8"/>
    <w:rsid w:val="0065339E"/>
    <w:rsid w:val="00653E9A"/>
    <w:rsid w:val="00656B4B"/>
    <w:rsid w:val="006611B2"/>
    <w:rsid w:val="00661B07"/>
    <w:rsid w:val="006625A5"/>
    <w:rsid w:val="00663DF6"/>
    <w:rsid w:val="0066445B"/>
    <w:rsid w:val="006646D8"/>
    <w:rsid w:val="0066485B"/>
    <w:rsid w:val="00664A68"/>
    <w:rsid w:val="00665A43"/>
    <w:rsid w:val="00665C3D"/>
    <w:rsid w:val="00666304"/>
    <w:rsid w:val="00670B47"/>
    <w:rsid w:val="006716EA"/>
    <w:rsid w:val="00671B21"/>
    <w:rsid w:val="00671DFD"/>
    <w:rsid w:val="00671EC4"/>
    <w:rsid w:val="00672296"/>
    <w:rsid w:val="00673C8C"/>
    <w:rsid w:val="00674747"/>
    <w:rsid w:val="0067535B"/>
    <w:rsid w:val="00676675"/>
    <w:rsid w:val="00676AF6"/>
    <w:rsid w:val="00676D52"/>
    <w:rsid w:val="006773E9"/>
    <w:rsid w:val="006774EA"/>
    <w:rsid w:val="006811F9"/>
    <w:rsid w:val="00682AD7"/>
    <w:rsid w:val="006839CB"/>
    <w:rsid w:val="0068438E"/>
    <w:rsid w:val="00684614"/>
    <w:rsid w:val="00684F77"/>
    <w:rsid w:val="0068549A"/>
    <w:rsid w:val="006858D2"/>
    <w:rsid w:val="00686915"/>
    <w:rsid w:val="00686F4F"/>
    <w:rsid w:val="00686F59"/>
    <w:rsid w:val="00686FEB"/>
    <w:rsid w:val="006873A5"/>
    <w:rsid w:val="00687709"/>
    <w:rsid w:val="006902DA"/>
    <w:rsid w:val="0069042A"/>
    <w:rsid w:val="006904D5"/>
    <w:rsid w:val="00690FD0"/>
    <w:rsid w:val="0069199E"/>
    <w:rsid w:val="00691D42"/>
    <w:rsid w:val="00692BF2"/>
    <w:rsid w:val="0069344B"/>
    <w:rsid w:val="0069387D"/>
    <w:rsid w:val="00693A7B"/>
    <w:rsid w:val="00693F70"/>
    <w:rsid w:val="006941E8"/>
    <w:rsid w:val="0069435B"/>
    <w:rsid w:val="006943DE"/>
    <w:rsid w:val="006956C1"/>
    <w:rsid w:val="00695EC0"/>
    <w:rsid w:val="00696ABE"/>
    <w:rsid w:val="006976E8"/>
    <w:rsid w:val="00697F33"/>
    <w:rsid w:val="006A02F8"/>
    <w:rsid w:val="006A0333"/>
    <w:rsid w:val="006A0435"/>
    <w:rsid w:val="006A06BA"/>
    <w:rsid w:val="006A144C"/>
    <w:rsid w:val="006A19C9"/>
    <w:rsid w:val="006A200A"/>
    <w:rsid w:val="006A27F6"/>
    <w:rsid w:val="006A2CFB"/>
    <w:rsid w:val="006A3008"/>
    <w:rsid w:val="006A3181"/>
    <w:rsid w:val="006A3524"/>
    <w:rsid w:val="006A4230"/>
    <w:rsid w:val="006A46B3"/>
    <w:rsid w:val="006A4AD6"/>
    <w:rsid w:val="006A4D8A"/>
    <w:rsid w:val="006A53B8"/>
    <w:rsid w:val="006A6157"/>
    <w:rsid w:val="006A6E28"/>
    <w:rsid w:val="006A77D9"/>
    <w:rsid w:val="006B03F2"/>
    <w:rsid w:val="006B079B"/>
    <w:rsid w:val="006B1614"/>
    <w:rsid w:val="006B17ED"/>
    <w:rsid w:val="006B2C52"/>
    <w:rsid w:val="006B2CC2"/>
    <w:rsid w:val="006B3DA0"/>
    <w:rsid w:val="006B42CD"/>
    <w:rsid w:val="006B53D3"/>
    <w:rsid w:val="006B5A26"/>
    <w:rsid w:val="006B5DCA"/>
    <w:rsid w:val="006B67DB"/>
    <w:rsid w:val="006B691E"/>
    <w:rsid w:val="006B6D77"/>
    <w:rsid w:val="006B7559"/>
    <w:rsid w:val="006B77CE"/>
    <w:rsid w:val="006B7912"/>
    <w:rsid w:val="006C062B"/>
    <w:rsid w:val="006C11AD"/>
    <w:rsid w:val="006C20D9"/>
    <w:rsid w:val="006C2FBC"/>
    <w:rsid w:val="006C32A3"/>
    <w:rsid w:val="006C3E82"/>
    <w:rsid w:val="006C5F0C"/>
    <w:rsid w:val="006C6A41"/>
    <w:rsid w:val="006C7041"/>
    <w:rsid w:val="006C720C"/>
    <w:rsid w:val="006C7322"/>
    <w:rsid w:val="006C77EC"/>
    <w:rsid w:val="006C79DA"/>
    <w:rsid w:val="006D0283"/>
    <w:rsid w:val="006D2A51"/>
    <w:rsid w:val="006D33C0"/>
    <w:rsid w:val="006D385A"/>
    <w:rsid w:val="006D4A88"/>
    <w:rsid w:val="006D4F4A"/>
    <w:rsid w:val="006D51B3"/>
    <w:rsid w:val="006D5AC9"/>
    <w:rsid w:val="006D5EB4"/>
    <w:rsid w:val="006D5ECF"/>
    <w:rsid w:val="006D60DB"/>
    <w:rsid w:val="006D61F1"/>
    <w:rsid w:val="006D6742"/>
    <w:rsid w:val="006D6F17"/>
    <w:rsid w:val="006D70DA"/>
    <w:rsid w:val="006D7269"/>
    <w:rsid w:val="006E01E1"/>
    <w:rsid w:val="006E0795"/>
    <w:rsid w:val="006E0B5D"/>
    <w:rsid w:val="006E1442"/>
    <w:rsid w:val="006E2B55"/>
    <w:rsid w:val="006E30CC"/>
    <w:rsid w:val="006E4198"/>
    <w:rsid w:val="006E4425"/>
    <w:rsid w:val="006E51E2"/>
    <w:rsid w:val="006E5A01"/>
    <w:rsid w:val="006E5ACC"/>
    <w:rsid w:val="006E5BB6"/>
    <w:rsid w:val="006E7A9B"/>
    <w:rsid w:val="006F0ADD"/>
    <w:rsid w:val="006F0F42"/>
    <w:rsid w:val="006F17C3"/>
    <w:rsid w:val="006F1CCA"/>
    <w:rsid w:val="006F2B86"/>
    <w:rsid w:val="006F359B"/>
    <w:rsid w:val="006F3689"/>
    <w:rsid w:val="006F36A2"/>
    <w:rsid w:val="006F57C3"/>
    <w:rsid w:val="006F6A32"/>
    <w:rsid w:val="006F6FAD"/>
    <w:rsid w:val="006F7E8A"/>
    <w:rsid w:val="00700546"/>
    <w:rsid w:val="00701DC6"/>
    <w:rsid w:val="00702818"/>
    <w:rsid w:val="00703DFE"/>
    <w:rsid w:val="007050BF"/>
    <w:rsid w:val="00705CD7"/>
    <w:rsid w:val="00705ED0"/>
    <w:rsid w:val="00706DD2"/>
    <w:rsid w:val="00707062"/>
    <w:rsid w:val="007079FC"/>
    <w:rsid w:val="0071044A"/>
    <w:rsid w:val="00710883"/>
    <w:rsid w:val="00710D9B"/>
    <w:rsid w:val="007124A3"/>
    <w:rsid w:val="00712D65"/>
    <w:rsid w:val="00713CD3"/>
    <w:rsid w:val="00714B8A"/>
    <w:rsid w:val="00715A52"/>
    <w:rsid w:val="007164C5"/>
    <w:rsid w:val="00716D52"/>
    <w:rsid w:val="00717BBD"/>
    <w:rsid w:val="00717D65"/>
    <w:rsid w:val="0072180C"/>
    <w:rsid w:val="00721974"/>
    <w:rsid w:val="00721CDE"/>
    <w:rsid w:val="00721DDA"/>
    <w:rsid w:val="007224C5"/>
    <w:rsid w:val="00722C09"/>
    <w:rsid w:val="007234C5"/>
    <w:rsid w:val="0072444D"/>
    <w:rsid w:val="0072490B"/>
    <w:rsid w:val="0072545F"/>
    <w:rsid w:val="00725469"/>
    <w:rsid w:val="00725715"/>
    <w:rsid w:val="007272C3"/>
    <w:rsid w:val="007301B8"/>
    <w:rsid w:val="00730985"/>
    <w:rsid w:val="00731944"/>
    <w:rsid w:val="00732B90"/>
    <w:rsid w:val="00732F31"/>
    <w:rsid w:val="007345F6"/>
    <w:rsid w:val="007348F8"/>
    <w:rsid w:val="007349FB"/>
    <w:rsid w:val="0073516A"/>
    <w:rsid w:val="007361EE"/>
    <w:rsid w:val="0073637A"/>
    <w:rsid w:val="007374E8"/>
    <w:rsid w:val="00740289"/>
    <w:rsid w:val="00740D39"/>
    <w:rsid w:val="007416AC"/>
    <w:rsid w:val="007427F5"/>
    <w:rsid w:val="00742EBF"/>
    <w:rsid w:val="00743503"/>
    <w:rsid w:val="00743855"/>
    <w:rsid w:val="007459CF"/>
    <w:rsid w:val="007517A4"/>
    <w:rsid w:val="00751A4F"/>
    <w:rsid w:val="007522F5"/>
    <w:rsid w:val="00753C8E"/>
    <w:rsid w:val="00753DDE"/>
    <w:rsid w:val="007542F2"/>
    <w:rsid w:val="007545C3"/>
    <w:rsid w:val="0075566F"/>
    <w:rsid w:val="00755683"/>
    <w:rsid w:val="00755B24"/>
    <w:rsid w:val="007563F9"/>
    <w:rsid w:val="007576BA"/>
    <w:rsid w:val="007604F1"/>
    <w:rsid w:val="00760A12"/>
    <w:rsid w:val="00760F3C"/>
    <w:rsid w:val="007614DF"/>
    <w:rsid w:val="00761A51"/>
    <w:rsid w:val="00761C30"/>
    <w:rsid w:val="007622ED"/>
    <w:rsid w:val="00763901"/>
    <w:rsid w:val="00763D85"/>
    <w:rsid w:val="00764342"/>
    <w:rsid w:val="00764357"/>
    <w:rsid w:val="00765CC7"/>
    <w:rsid w:val="00766411"/>
    <w:rsid w:val="00766419"/>
    <w:rsid w:val="00766532"/>
    <w:rsid w:val="00766D4C"/>
    <w:rsid w:val="00767717"/>
    <w:rsid w:val="007710C8"/>
    <w:rsid w:val="00771263"/>
    <w:rsid w:val="0077395F"/>
    <w:rsid w:val="00773D1D"/>
    <w:rsid w:val="0077426A"/>
    <w:rsid w:val="00774976"/>
    <w:rsid w:val="00774A21"/>
    <w:rsid w:val="00774EEC"/>
    <w:rsid w:val="00775DCF"/>
    <w:rsid w:val="0077618C"/>
    <w:rsid w:val="00776857"/>
    <w:rsid w:val="00776C7D"/>
    <w:rsid w:val="00777870"/>
    <w:rsid w:val="00777D33"/>
    <w:rsid w:val="0078068B"/>
    <w:rsid w:val="007807B1"/>
    <w:rsid w:val="00780B43"/>
    <w:rsid w:val="0078100F"/>
    <w:rsid w:val="00781037"/>
    <w:rsid w:val="00781A1E"/>
    <w:rsid w:val="00781AD6"/>
    <w:rsid w:val="00782159"/>
    <w:rsid w:val="00784690"/>
    <w:rsid w:val="00785EB0"/>
    <w:rsid w:val="00786B56"/>
    <w:rsid w:val="00787A73"/>
    <w:rsid w:val="00787B6F"/>
    <w:rsid w:val="007906A2"/>
    <w:rsid w:val="00790F52"/>
    <w:rsid w:val="007910A9"/>
    <w:rsid w:val="00791653"/>
    <w:rsid w:val="007916D9"/>
    <w:rsid w:val="00791B45"/>
    <w:rsid w:val="007922CA"/>
    <w:rsid w:val="007923FC"/>
    <w:rsid w:val="0079242D"/>
    <w:rsid w:val="00792A9D"/>
    <w:rsid w:val="00793896"/>
    <w:rsid w:val="007941DF"/>
    <w:rsid w:val="00794444"/>
    <w:rsid w:val="0079468C"/>
    <w:rsid w:val="007955AC"/>
    <w:rsid w:val="00795793"/>
    <w:rsid w:val="00795DC1"/>
    <w:rsid w:val="0079687A"/>
    <w:rsid w:val="00796B5A"/>
    <w:rsid w:val="00797228"/>
    <w:rsid w:val="00797AC4"/>
    <w:rsid w:val="00797C10"/>
    <w:rsid w:val="007A0450"/>
    <w:rsid w:val="007A163A"/>
    <w:rsid w:val="007A1A9E"/>
    <w:rsid w:val="007A1B96"/>
    <w:rsid w:val="007A1DA7"/>
    <w:rsid w:val="007A3669"/>
    <w:rsid w:val="007A3B6E"/>
    <w:rsid w:val="007A46E3"/>
    <w:rsid w:val="007A4BD6"/>
    <w:rsid w:val="007A4C2D"/>
    <w:rsid w:val="007A517D"/>
    <w:rsid w:val="007A5684"/>
    <w:rsid w:val="007A56D2"/>
    <w:rsid w:val="007A56F1"/>
    <w:rsid w:val="007A6062"/>
    <w:rsid w:val="007A72A8"/>
    <w:rsid w:val="007A7892"/>
    <w:rsid w:val="007A79CB"/>
    <w:rsid w:val="007B02EF"/>
    <w:rsid w:val="007B1E88"/>
    <w:rsid w:val="007B2E70"/>
    <w:rsid w:val="007B3ED8"/>
    <w:rsid w:val="007B4C10"/>
    <w:rsid w:val="007B4F3B"/>
    <w:rsid w:val="007B50E5"/>
    <w:rsid w:val="007B6381"/>
    <w:rsid w:val="007B7DD3"/>
    <w:rsid w:val="007C02DD"/>
    <w:rsid w:val="007C08D2"/>
    <w:rsid w:val="007C0AB2"/>
    <w:rsid w:val="007C0B12"/>
    <w:rsid w:val="007C0F6D"/>
    <w:rsid w:val="007C238C"/>
    <w:rsid w:val="007C2534"/>
    <w:rsid w:val="007C3561"/>
    <w:rsid w:val="007C451F"/>
    <w:rsid w:val="007C63BC"/>
    <w:rsid w:val="007C7356"/>
    <w:rsid w:val="007C75A1"/>
    <w:rsid w:val="007C7ADF"/>
    <w:rsid w:val="007C7D9A"/>
    <w:rsid w:val="007D0EBE"/>
    <w:rsid w:val="007D1C44"/>
    <w:rsid w:val="007D1D15"/>
    <w:rsid w:val="007D2698"/>
    <w:rsid w:val="007D3B2C"/>
    <w:rsid w:val="007D6F12"/>
    <w:rsid w:val="007D7679"/>
    <w:rsid w:val="007D7947"/>
    <w:rsid w:val="007E058F"/>
    <w:rsid w:val="007E06B6"/>
    <w:rsid w:val="007E1B9D"/>
    <w:rsid w:val="007E3BE6"/>
    <w:rsid w:val="007E48B5"/>
    <w:rsid w:val="007E5B57"/>
    <w:rsid w:val="007E6121"/>
    <w:rsid w:val="007E709E"/>
    <w:rsid w:val="007E709F"/>
    <w:rsid w:val="007E765F"/>
    <w:rsid w:val="007F087E"/>
    <w:rsid w:val="007F0B33"/>
    <w:rsid w:val="007F0B48"/>
    <w:rsid w:val="007F0BAD"/>
    <w:rsid w:val="007F20ED"/>
    <w:rsid w:val="007F31CE"/>
    <w:rsid w:val="007F3330"/>
    <w:rsid w:val="007F3352"/>
    <w:rsid w:val="007F370B"/>
    <w:rsid w:val="007F4CA3"/>
    <w:rsid w:val="007F578A"/>
    <w:rsid w:val="007F647D"/>
    <w:rsid w:val="007F6D41"/>
    <w:rsid w:val="007F750D"/>
    <w:rsid w:val="007F794F"/>
    <w:rsid w:val="00800AAB"/>
    <w:rsid w:val="00800B4A"/>
    <w:rsid w:val="008012CE"/>
    <w:rsid w:val="008029B2"/>
    <w:rsid w:val="00802E9D"/>
    <w:rsid w:val="00803AA7"/>
    <w:rsid w:val="00804A56"/>
    <w:rsid w:val="00804FDD"/>
    <w:rsid w:val="008059CB"/>
    <w:rsid w:val="00807215"/>
    <w:rsid w:val="0080786B"/>
    <w:rsid w:val="008108CA"/>
    <w:rsid w:val="008117D0"/>
    <w:rsid w:val="00811BDB"/>
    <w:rsid w:val="0081236F"/>
    <w:rsid w:val="008126D3"/>
    <w:rsid w:val="00812EB7"/>
    <w:rsid w:val="008144F4"/>
    <w:rsid w:val="00814968"/>
    <w:rsid w:val="00814A49"/>
    <w:rsid w:val="00816373"/>
    <w:rsid w:val="00816F65"/>
    <w:rsid w:val="00816FFF"/>
    <w:rsid w:val="008172F6"/>
    <w:rsid w:val="00817AC1"/>
    <w:rsid w:val="00817AED"/>
    <w:rsid w:val="0082109C"/>
    <w:rsid w:val="00821290"/>
    <w:rsid w:val="00822912"/>
    <w:rsid w:val="00822C2E"/>
    <w:rsid w:val="00823558"/>
    <w:rsid w:val="00824B7F"/>
    <w:rsid w:val="00824BD3"/>
    <w:rsid w:val="00826240"/>
    <w:rsid w:val="00826A78"/>
    <w:rsid w:val="00826B17"/>
    <w:rsid w:val="0082730A"/>
    <w:rsid w:val="0082792A"/>
    <w:rsid w:val="00830052"/>
    <w:rsid w:val="00830102"/>
    <w:rsid w:val="008303DB"/>
    <w:rsid w:val="008319C0"/>
    <w:rsid w:val="00831E4F"/>
    <w:rsid w:val="00831F0B"/>
    <w:rsid w:val="0083287E"/>
    <w:rsid w:val="008356D0"/>
    <w:rsid w:val="00835E1B"/>
    <w:rsid w:val="00837A14"/>
    <w:rsid w:val="00840E42"/>
    <w:rsid w:val="008412F1"/>
    <w:rsid w:val="00841409"/>
    <w:rsid w:val="0084153A"/>
    <w:rsid w:val="00841BCB"/>
    <w:rsid w:val="00842722"/>
    <w:rsid w:val="008427AF"/>
    <w:rsid w:val="00842CC3"/>
    <w:rsid w:val="00843F52"/>
    <w:rsid w:val="00844F2F"/>
    <w:rsid w:val="008454AE"/>
    <w:rsid w:val="00846521"/>
    <w:rsid w:val="00846CE8"/>
    <w:rsid w:val="00846F8D"/>
    <w:rsid w:val="00847048"/>
    <w:rsid w:val="008471C4"/>
    <w:rsid w:val="00847385"/>
    <w:rsid w:val="00847843"/>
    <w:rsid w:val="00847A88"/>
    <w:rsid w:val="00851C77"/>
    <w:rsid w:val="00851D97"/>
    <w:rsid w:val="008522D3"/>
    <w:rsid w:val="0085249C"/>
    <w:rsid w:val="008524D2"/>
    <w:rsid w:val="0085386D"/>
    <w:rsid w:val="00854ADE"/>
    <w:rsid w:val="008553B2"/>
    <w:rsid w:val="008557ED"/>
    <w:rsid w:val="00855903"/>
    <w:rsid w:val="00855FE8"/>
    <w:rsid w:val="00857D30"/>
    <w:rsid w:val="00860B1A"/>
    <w:rsid w:val="008617FE"/>
    <w:rsid w:val="00861B88"/>
    <w:rsid w:val="00861F7D"/>
    <w:rsid w:val="00862C05"/>
    <w:rsid w:val="00864094"/>
    <w:rsid w:val="00866CE1"/>
    <w:rsid w:val="00870849"/>
    <w:rsid w:val="00870E1A"/>
    <w:rsid w:val="0087189F"/>
    <w:rsid w:val="008724E9"/>
    <w:rsid w:val="00872B81"/>
    <w:rsid w:val="00873FCF"/>
    <w:rsid w:val="008744BC"/>
    <w:rsid w:val="008744D1"/>
    <w:rsid w:val="00875709"/>
    <w:rsid w:val="00876B0A"/>
    <w:rsid w:val="00876C30"/>
    <w:rsid w:val="008807DB"/>
    <w:rsid w:val="00880FB8"/>
    <w:rsid w:val="00882313"/>
    <w:rsid w:val="008827E1"/>
    <w:rsid w:val="0088589D"/>
    <w:rsid w:val="00886116"/>
    <w:rsid w:val="00886E75"/>
    <w:rsid w:val="0088749D"/>
    <w:rsid w:val="00887CEB"/>
    <w:rsid w:val="00887FDD"/>
    <w:rsid w:val="008909A8"/>
    <w:rsid w:val="00890A35"/>
    <w:rsid w:val="00890A6F"/>
    <w:rsid w:val="00890D42"/>
    <w:rsid w:val="0089250E"/>
    <w:rsid w:val="00892A8C"/>
    <w:rsid w:val="00892CAB"/>
    <w:rsid w:val="00892DD6"/>
    <w:rsid w:val="008937A3"/>
    <w:rsid w:val="00893991"/>
    <w:rsid w:val="00895859"/>
    <w:rsid w:val="008958BB"/>
    <w:rsid w:val="00896A68"/>
    <w:rsid w:val="00896C54"/>
    <w:rsid w:val="00897981"/>
    <w:rsid w:val="008A01CB"/>
    <w:rsid w:val="008A0684"/>
    <w:rsid w:val="008A06A2"/>
    <w:rsid w:val="008A09E0"/>
    <w:rsid w:val="008A105A"/>
    <w:rsid w:val="008A1C04"/>
    <w:rsid w:val="008A2779"/>
    <w:rsid w:val="008A3630"/>
    <w:rsid w:val="008A3862"/>
    <w:rsid w:val="008A3AFB"/>
    <w:rsid w:val="008A3DA0"/>
    <w:rsid w:val="008A41BA"/>
    <w:rsid w:val="008A4836"/>
    <w:rsid w:val="008A48D1"/>
    <w:rsid w:val="008A4DCB"/>
    <w:rsid w:val="008A6037"/>
    <w:rsid w:val="008A6F63"/>
    <w:rsid w:val="008A7415"/>
    <w:rsid w:val="008B0206"/>
    <w:rsid w:val="008B0295"/>
    <w:rsid w:val="008B17B6"/>
    <w:rsid w:val="008B193A"/>
    <w:rsid w:val="008B1963"/>
    <w:rsid w:val="008B37A5"/>
    <w:rsid w:val="008B3999"/>
    <w:rsid w:val="008B49B0"/>
    <w:rsid w:val="008B4B8C"/>
    <w:rsid w:val="008B525E"/>
    <w:rsid w:val="008B5D73"/>
    <w:rsid w:val="008B6404"/>
    <w:rsid w:val="008B6802"/>
    <w:rsid w:val="008B690E"/>
    <w:rsid w:val="008B74D7"/>
    <w:rsid w:val="008C0FE3"/>
    <w:rsid w:val="008C1158"/>
    <w:rsid w:val="008C2CA3"/>
    <w:rsid w:val="008C2CB9"/>
    <w:rsid w:val="008C2E48"/>
    <w:rsid w:val="008C57AC"/>
    <w:rsid w:val="008C6582"/>
    <w:rsid w:val="008C6838"/>
    <w:rsid w:val="008C6865"/>
    <w:rsid w:val="008C7512"/>
    <w:rsid w:val="008D07E1"/>
    <w:rsid w:val="008D0FF4"/>
    <w:rsid w:val="008D1021"/>
    <w:rsid w:val="008D10EE"/>
    <w:rsid w:val="008D2A54"/>
    <w:rsid w:val="008D3BBA"/>
    <w:rsid w:val="008D489F"/>
    <w:rsid w:val="008D4A72"/>
    <w:rsid w:val="008D7410"/>
    <w:rsid w:val="008D76B0"/>
    <w:rsid w:val="008E0693"/>
    <w:rsid w:val="008E0F85"/>
    <w:rsid w:val="008E17AF"/>
    <w:rsid w:val="008E1A89"/>
    <w:rsid w:val="008E1E97"/>
    <w:rsid w:val="008E3612"/>
    <w:rsid w:val="008E36A5"/>
    <w:rsid w:val="008E3CB9"/>
    <w:rsid w:val="008E52F6"/>
    <w:rsid w:val="008E7144"/>
    <w:rsid w:val="008E76FC"/>
    <w:rsid w:val="008F2A5A"/>
    <w:rsid w:val="008F398B"/>
    <w:rsid w:val="008F3EF5"/>
    <w:rsid w:val="008F4A59"/>
    <w:rsid w:val="008F50E2"/>
    <w:rsid w:val="008F5B12"/>
    <w:rsid w:val="008F61A4"/>
    <w:rsid w:val="008F673C"/>
    <w:rsid w:val="008F6AAD"/>
    <w:rsid w:val="008F6F99"/>
    <w:rsid w:val="008F7227"/>
    <w:rsid w:val="008F7726"/>
    <w:rsid w:val="00901116"/>
    <w:rsid w:val="00902874"/>
    <w:rsid w:val="00903819"/>
    <w:rsid w:val="00905391"/>
    <w:rsid w:val="00905495"/>
    <w:rsid w:val="0090632C"/>
    <w:rsid w:val="00906B13"/>
    <w:rsid w:val="00906CE8"/>
    <w:rsid w:val="00907713"/>
    <w:rsid w:val="009079F8"/>
    <w:rsid w:val="00910677"/>
    <w:rsid w:val="00910AB5"/>
    <w:rsid w:val="00911E91"/>
    <w:rsid w:val="009127B8"/>
    <w:rsid w:val="0091338C"/>
    <w:rsid w:val="00913C4B"/>
    <w:rsid w:val="0091587E"/>
    <w:rsid w:val="00915D7F"/>
    <w:rsid w:val="00916B8A"/>
    <w:rsid w:val="00920C4E"/>
    <w:rsid w:val="009212AC"/>
    <w:rsid w:val="009220F6"/>
    <w:rsid w:val="00922338"/>
    <w:rsid w:val="00923861"/>
    <w:rsid w:val="0092428F"/>
    <w:rsid w:val="00924652"/>
    <w:rsid w:val="00924753"/>
    <w:rsid w:val="0092550E"/>
    <w:rsid w:val="009255C6"/>
    <w:rsid w:val="0092599B"/>
    <w:rsid w:val="00925AC4"/>
    <w:rsid w:val="00925CEC"/>
    <w:rsid w:val="0092603D"/>
    <w:rsid w:val="00927870"/>
    <w:rsid w:val="0093076F"/>
    <w:rsid w:val="009311BA"/>
    <w:rsid w:val="00931774"/>
    <w:rsid w:val="009321C2"/>
    <w:rsid w:val="00932622"/>
    <w:rsid w:val="00932748"/>
    <w:rsid w:val="009328CB"/>
    <w:rsid w:val="00932935"/>
    <w:rsid w:val="00932AFC"/>
    <w:rsid w:val="00932DF4"/>
    <w:rsid w:val="0093370A"/>
    <w:rsid w:val="00935870"/>
    <w:rsid w:val="00935BA4"/>
    <w:rsid w:val="00935D33"/>
    <w:rsid w:val="00936BD2"/>
    <w:rsid w:val="00937A59"/>
    <w:rsid w:val="00940CFF"/>
    <w:rsid w:val="00942A6A"/>
    <w:rsid w:val="00943EBB"/>
    <w:rsid w:val="00944D3F"/>
    <w:rsid w:val="009457CB"/>
    <w:rsid w:val="00945869"/>
    <w:rsid w:val="00945A84"/>
    <w:rsid w:val="00946293"/>
    <w:rsid w:val="00946AF5"/>
    <w:rsid w:val="00947BC9"/>
    <w:rsid w:val="00947F1D"/>
    <w:rsid w:val="0095095A"/>
    <w:rsid w:val="00951425"/>
    <w:rsid w:val="0095187E"/>
    <w:rsid w:val="00951DFB"/>
    <w:rsid w:val="009531BD"/>
    <w:rsid w:val="00953603"/>
    <w:rsid w:val="00953663"/>
    <w:rsid w:val="00953808"/>
    <w:rsid w:val="009544BF"/>
    <w:rsid w:val="00954992"/>
    <w:rsid w:val="0095619B"/>
    <w:rsid w:val="00956A06"/>
    <w:rsid w:val="00961136"/>
    <w:rsid w:val="00962D5A"/>
    <w:rsid w:val="009630F7"/>
    <w:rsid w:val="00963598"/>
    <w:rsid w:val="009659CD"/>
    <w:rsid w:val="00966A26"/>
    <w:rsid w:val="00966A43"/>
    <w:rsid w:val="00967BFD"/>
    <w:rsid w:val="00970D32"/>
    <w:rsid w:val="0097108B"/>
    <w:rsid w:val="00972B71"/>
    <w:rsid w:val="00974045"/>
    <w:rsid w:val="009740DC"/>
    <w:rsid w:val="009743C1"/>
    <w:rsid w:val="00974C39"/>
    <w:rsid w:val="00974F18"/>
    <w:rsid w:val="00974F5F"/>
    <w:rsid w:val="0097510A"/>
    <w:rsid w:val="00975D97"/>
    <w:rsid w:val="00975EF9"/>
    <w:rsid w:val="00976397"/>
    <w:rsid w:val="00976545"/>
    <w:rsid w:val="009773C6"/>
    <w:rsid w:val="009773C8"/>
    <w:rsid w:val="0098463E"/>
    <w:rsid w:val="0098486C"/>
    <w:rsid w:val="00985433"/>
    <w:rsid w:val="0098571D"/>
    <w:rsid w:val="00985A7E"/>
    <w:rsid w:val="00987273"/>
    <w:rsid w:val="0099062B"/>
    <w:rsid w:val="009908EC"/>
    <w:rsid w:val="009926D0"/>
    <w:rsid w:val="00992C1B"/>
    <w:rsid w:val="00993077"/>
    <w:rsid w:val="00993876"/>
    <w:rsid w:val="009940AA"/>
    <w:rsid w:val="00994286"/>
    <w:rsid w:val="00994CDE"/>
    <w:rsid w:val="00995542"/>
    <w:rsid w:val="009956D0"/>
    <w:rsid w:val="00996D2C"/>
    <w:rsid w:val="009976C1"/>
    <w:rsid w:val="009A01D0"/>
    <w:rsid w:val="009A0AB5"/>
    <w:rsid w:val="009A223E"/>
    <w:rsid w:val="009A2FCE"/>
    <w:rsid w:val="009A71F0"/>
    <w:rsid w:val="009A7B57"/>
    <w:rsid w:val="009A7D0E"/>
    <w:rsid w:val="009B088C"/>
    <w:rsid w:val="009B1124"/>
    <w:rsid w:val="009B1793"/>
    <w:rsid w:val="009B1D83"/>
    <w:rsid w:val="009B256C"/>
    <w:rsid w:val="009B25DB"/>
    <w:rsid w:val="009B3577"/>
    <w:rsid w:val="009B36B4"/>
    <w:rsid w:val="009B387E"/>
    <w:rsid w:val="009B3AC5"/>
    <w:rsid w:val="009B4484"/>
    <w:rsid w:val="009B47DE"/>
    <w:rsid w:val="009B59F1"/>
    <w:rsid w:val="009B680B"/>
    <w:rsid w:val="009B709F"/>
    <w:rsid w:val="009B799F"/>
    <w:rsid w:val="009B7D9D"/>
    <w:rsid w:val="009C047F"/>
    <w:rsid w:val="009C088D"/>
    <w:rsid w:val="009C2700"/>
    <w:rsid w:val="009C292F"/>
    <w:rsid w:val="009C2B88"/>
    <w:rsid w:val="009C38D4"/>
    <w:rsid w:val="009C51CB"/>
    <w:rsid w:val="009C6D3B"/>
    <w:rsid w:val="009D09F7"/>
    <w:rsid w:val="009D1EAA"/>
    <w:rsid w:val="009D2856"/>
    <w:rsid w:val="009D293C"/>
    <w:rsid w:val="009D2B0D"/>
    <w:rsid w:val="009D38D4"/>
    <w:rsid w:val="009D3992"/>
    <w:rsid w:val="009D3B6B"/>
    <w:rsid w:val="009D471F"/>
    <w:rsid w:val="009D5610"/>
    <w:rsid w:val="009D5641"/>
    <w:rsid w:val="009D695D"/>
    <w:rsid w:val="009D6DC4"/>
    <w:rsid w:val="009E0908"/>
    <w:rsid w:val="009E1BE8"/>
    <w:rsid w:val="009E1C6C"/>
    <w:rsid w:val="009E1D25"/>
    <w:rsid w:val="009E3036"/>
    <w:rsid w:val="009E3941"/>
    <w:rsid w:val="009E414F"/>
    <w:rsid w:val="009E4765"/>
    <w:rsid w:val="009E4E14"/>
    <w:rsid w:val="009E4F6A"/>
    <w:rsid w:val="009E59D2"/>
    <w:rsid w:val="009E5DD7"/>
    <w:rsid w:val="009E61D2"/>
    <w:rsid w:val="009F0505"/>
    <w:rsid w:val="009F071D"/>
    <w:rsid w:val="009F07EB"/>
    <w:rsid w:val="009F0AC9"/>
    <w:rsid w:val="009F1ECF"/>
    <w:rsid w:val="009F39C8"/>
    <w:rsid w:val="009F40F1"/>
    <w:rsid w:val="009F4429"/>
    <w:rsid w:val="009F78F0"/>
    <w:rsid w:val="009F7D5C"/>
    <w:rsid w:val="00A00310"/>
    <w:rsid w:val="00A0051E"/>
    <w:rsid w:val="00A00DB1"/>
    <w:rsid w:val="00A02135"/>
    <w:rsid w:val="00A02621"/>
    <w:rsid w:val="00A03B20"/>
    <w:rsid w:val="00A04118"/>
    <w:rsid w:val="00A0427E"/>
    <w:rsid w:val="00A05A52"/>
    <w:rsid w:val="00A05F4E"/>
    <w:rsid w:val="00A06A08"/>
    <w:rsid w:val="00A07B93"/>
    <w:rsid w:val="00A10456"/>
    <w:rsid w:val="00A10DD2"/>
    <w:rsid w:val="00A118AD"/>
    <w:rsid w:val="00A11BF6"/>
    <w:rsid w:val="00A1392D"/>
    <w:rsid w:val="00A141D4"/>
    <w:rsid w:val="00A1431A"/>
    <w:rsid w:val="00A14728"/>
    <w:rsid w:val="00A1491D"/>
    <w:rsid w:val="00A14A74"/>
    <w:rsid w:val="00A14BB6"/>
    <w:rsid w:val="00A14BCD"/>
    <w:rsid w:val="00A157FB"/>
    <w:rsid w:val="00A15DFA"/>
    <w:rsid w:val="00A16AAB"/>
    <w:rsid w:val="00A16AF9"/>
    <w:rsid w:val="00A16F40"/>
    <w:rsid w:val="00A176AF"/>
    <w:rsid w:val="00A17B1F"/>
    <w:rsid w:val="00A204A8"/>
    <w:rsid w:val="00A21540"/>
    <w:rsid w:val="00A2170E"/>
    <w:rsid w:val="00A22BE9"/>
    <w:rsid w:val="00A23505"/>
    <w:rsid w:val="00A236DE"/>
    <w:rsid w:val="00A241E0"/>
    <w:rsid w:val="00A2439F"/>
    <w:rsid w:val="00A248F2"/>
    <w:rsid w:val="00A25439"/>
    <w:rsid w:val="00A25B12"/>
    <w:rsid w:val="00A25CB7"/>
    <w:rsid w:val="00A26AB9"/>
    <w:rsid w:val="00A30DD5"/>
    <w:rsid w:val="00A312EA"/>
    <w:rsid w:val="00A31424"/>
    <w:rsid w:val="00A32176"/>
    <w:rsid w:val="00A33692"/>
    <w:rsid w:val="00A35083"/>
    <w:rsid w:val="00A36666"/>
    <w:rsid w:val="00A3777B"/>
    <w:rsid w:val="00A3782A"/>
    <w:rsid w:val="00A40370"/>
    <w:rsid w:val="00A4128C"/>
    <w:rsid w:val="00A41F7E"/>
    <w:rsid w:val="00A42FC9"/>
    <w:rsid w:val="00A4319C"/>
    <w:rsid w:val="00A4361F"/>
    <w:rsid w:val="00A445B7"/>
    <w:rsid w:val="00A446DE"/>
    <w:rsid w:val="00A4509A"/>
    <w:rsid w:val="00A45F4F"/>
    <w:rsid w:val="00A500F3"/>
    <w:rsid w:val="00A50424"/>
    <w:rsid w:val="00A51DE9"/>
    <w:rsid w:val="00A52110"/>
    <w:rsid w:val="00A527CF"/>
    <w:rsid w:val="00A52DB1"/>
    <w:rsid w:val="00A5363A"/>
    <w:rsid w:val="00A53ADC"/>
    <w:rsid w:val="00A53C6D"/>
    <w:rsid w:val="00A54380"/>
    <w:rsid w:val="00A54947"/>
    <w:rsid w:val="00A54A40"/>
    <w:rsid w:val="00A55639"/>
    <w:rsid w:val="00A5584C"/>
    <w:rsid w:val="00A5676E"/>
    <w:rsid w:val="00A573A9"/>
    <w:rsid w:val="00A57D4E"/>
    <w:rsid w:val="00A61213"/>
    <w:rsid w:val="00A616EF"/>
    <w:rsid w:val="00A62B8C"/>
    <w:rsid w:val="00A63CD1"/>
    <w:rsid w:val="00A6503E"/>
    <w:rsid w:val="00A65969"/>
    <w:rsid w:val="00A65CE8"/>
    <w:rsid w:val="00A667E4"/>
    <w:rsid w:val="00A667F7"/>
    <w:rsid w:val="00A66DA8"/>
    <w:rsid w:val="00A6703B"/>
    <w:rsid w:val="00A67047"/>
    <w:rsid w:val="00A672EF"/>
    <w:rsid w:val="00A701F6"/>
    <w:rsid w:val="00A7035E"/>
    <w:rsid w:val="00A70748"/>
    <w:rsid w:val="00A70C72"/>
    <w:rsid w:val="00A71E93"/>
    <w:rsid w:val="00A71F05"/>
    <w:rsid w:val="00A71FCD"/>
    <w:rsid w:val="00A72F25"/>
    <w:rsid w:val="00A734A5"/>
    <w:rsid w:val="00A739D2"/>
    <w:rsid w:val="00A73E33"/>
    <w:rsid w:val="00A7439E"/>
    <w:rsid w:val="00A74F16"/>
    <w:rsid w:val="00A76648"/>
    <w:rsid w:val="00A769BE"/>
    <w:rsid w:val="00A810A5"/>
    <w:rsid w:val="00A81205"/>
    <w:rsid w:val="00A81C0D"/>
    <w:rsid w:val="00A81CC4"/>
    <w:rsid w:val="00A824E5"/>
    <w:rsid w:val="00A8260B"/>
    <w:rsid w:val="00A836BC"/>
    <w:rsid w:val="00A83AB2"/>
    <w:rsid w:val="00A83CD0"/>
    <w:rsid w:val="00A84981"/>
    <w:rsid w:val="00A84AC9"/>
    <w:rsid w:val="00A85A37"/>
    <w:rsid w:val="00A85BAC"/>
    <w:rsid w:val="00A87197"/>
    <w:rsid w:val="00A876D6"/>
    <w:rsid w:val="00A901B8"/>
    <w:rsid w:val="00A91BD6"/>
    <w:rsid w:val="00A91D8F"/>
    <w:rsid w:val="00A9237F"/>
    <w:rsid w:val="00A92819"/>
    <w:rsid w:val="00A92965"/>
    <w:rsid w:val="00A92AB9"/>
    <w:rsid w:val="00A9301D"/>
    <w:rsid w:val="00A9371C"/>
    <w:rsid w:val="00A9426A"/>
    <w:rsid w:val="00A9427B"/>
    <w:rsid w:val="00A95A02"/>
    <w:rsid w:val="00A95D38"/>
    <w:rsid w:val="00A9668B"/>
    <w:rsid w:val="00A96BFB"/>
    <w:rsid w:val="00A97C80"/>
    <w:rsid w:val="00A97F2D"/>
    <w:rsid w:val="00AA003F"/>
    <w:rsid w:val="00AA07AF"/>
    <w:rsid w:val="00AA0B04"/>
    <w:rsid w:val="00AA1073"/>
    <w:rsid w:val="00AA1595"/>
    <w:rsid w:val="00AA31CA"/>
    <w:rsid w:val="00AA4173"/>
    <w:rsid w:val="00AA45BF"/>
    <w:rsid w:val="00AA4A39"/>
    <w:rsid w:val="00AA4B1A"/>
    <w:rsid w:val="00AA5D9B"/>
    <w:rsid w:val="00AA6699"/>
    <w:rsid w:val="00AA6BD4"/>
    <w:rsid w:val="00AA7851"/>
    <w:rsid w:val="00AB037A"/>
    <w:rsid w:val="00AB1880"/>
    <w:rsid w:val="00AB19BA"/>
    <w:rsid w:val="00AB1D6A"/>
    <w:rsid w:val="00AB2718"/>
    <w:rsid w:val="00AB2F33"/>
    <w:rsid w:val="00AB3727"/>
    <w:rsid w:val="00AB3DBB"/>
    <w:rsid w:val="00AB620F"/>
    <w:rsid w:val="00AB6A15"/>
    <w:rsid w:val="00AB6AFA"/>
    <w:rsid w:val="00AB6C52"/>
    <w:rsid w:val="00AB7814"/>
    <w:rsid w:val="00AB7F2D"/>
    <w:rsid w:val="00AC03EB"/>
    <w:rsid w:val="00AC122A"/>
    <w:rsid w:val="00AC14F1"/>
    <w:rsid w:val="00AC195F"/>
    <w:rsid w:val="00AC2D54"/>
    <w:rsid w:val="00AC3BD2"/>
    <w:rsid w:val="00AC3DC6"/>
    <w:rsid w:val="00AC406A"/>
    <w:rsid w:val="00AC413C"/>
    <w:rsid w:val="00AC44C3"/>
    <w:rsid w:val="00AC547C"/>
    <w:rsid w:val="00AC5679"/>
    <w:rsid w:val="00AC6047"/>
    <w:rsid w:val="00AC71DE"/>
    <w:rsid w:val="00AC7D8F"/>
    <w:rsid w:val="00AC7E2E"/>
    <w:rsid w:val="00AD0FD7"/>
    <w:rsid w:val="00AD1265"/>
    <w:rsid w:val="00AD209D"/>
    <w:rsid w:val="00AD25B9"/>
    <w:rsid w:val="00AD2DE8"/>
    <w:rsid w:val="00AD32D4"/>
    <w:rsid w:val="00AD4B0B"/>
    <w:rsid w:val="00AE1BD6"/>
    <w:rsid w:val="00AE1D46"/>
    <w:rsid w:val="00AE1F64"/>
    <w:rsid w:val="00AE1F79"/>
    <w:rsid w:val="00AE236D"/>
    <w:rsid w:val="00AE323D"/>
    <w:rsid w:val="00AE4FCA"/>
    <w:rsid w:val="00AE5A55"/>
    <w:rsid w:val="00AE6003"/>
    <w:rsid w:val="00AE624F"/>
    <w:rsid w:val="00AE6B99"/>
    <w:rsid w:val="00AE6BEC"/>
    <w:rsid w:val="00AE7040"/>
    <w:rsid w:val="00AE7CC1"/>
    <w:rsid w:val="00AE7ECE"/>
    <w:rsid w:val="00AF0702"/>
    <w:rsid w:val="00AF0AA5"/>
    <w:rsid w:val="00AF0B3A"/>
    <w:rsid w:val="00AF0EBE"/>
    <w:rsid w:val="00AF0EFB"/>
    <w:rsid w:val="00AF13E6"/>
    <w:rsid w:val="00AF2458"/>
    <w:rsid w:val="00AF2889"/>
    <w:rsid w:val="00AF2C5F"/>
    <w:rsid w:val="00AF35B9"/>
    <w:rsid w:val="00AF4286"/>
    <w:rsid w:val="00AF498B"/>
    <w:rsid w:val="00AF5A98"/>
    <w:rsid w:val="00AF5EF9"/>
    <w:rsid w:val="00AF60C2"/>
    <w:rsid w:val="00AF6201"/>
    <w:rsid w:val="00AF6D36"/>
    <w:rsid w:val="00AF7466"/>
    <w:rsid w:val="00AF75BE"/>
    <w:rsid w:val="00AF76C5"/>
    <w:rsid w:val="00AF79C9"/>
    <w:rsid w:val="00AF7E41"/>
    <w:rsid w:val="00B0168B"/>
    <w:rsid w:val="00B02A47"/>
    <w:rsid w:val="00B036AC"/>
    <w:rsid w:val="00B038D8"/>
    <w:rsid w:val="00B03C44"/>
    <w:rsid w:val="00B052E0"/>
    <w:rsid w:val="00B05AD8"/>
    <w:rsid w:val="00B072BD"/>
    <w:rsid w:val="00B113AC"/>
    <w:rsid w:val="00B1176B"/>
    <w:rsid w:val="00B11D18"/>
    <w:rsid w:val="00B120E8"/>
    <w:rsid w:val="00B127B0"/>
    <w:rsid w:val="00B13407"/>
    <w:rsid w:val="00B13F7B"/>
    <w:rsid w:val="00B14629"/>
    <w:rsid w:val="00B151D8"/>
    <w:rsid w:val="00B15C8E"/>
    <w:rsid w:val="00B163CF"/>
    <w:rsid w:val="00B164C8"/>
    <w:rsid w:val="00B166DE"/>
    <w:rsid w:val="00B16D65"/>
    <w:rsid w:val="00B17634"/>
    <w:rsid w:val="00B1780E"/>
    <w:rsid w:val="00B1781D"/>
    <w:rsid w:val="00B17DAF"/>
    <w:rsid w:val="00B203AE"/>
    <w:rsid w:val="00B209FE"/>
    <w:rsid w:val="00B2157C"/>
    <w:rsid w:val="00B2243A"/>
    <w:rsid w:val="00B228FE"/>
    <w:rsid w:val="00B230E1"/>
    <w:rsid w:val="00B23940"/>
    <w:rsid w:val="00B240C6"/>
    <w:rsid w:val="00B24E42"/>
    <w:rsid w:val="00B25A51"/>
    <w:rsid w:val="00B25EF8"/>
    <w:rsid w:val="00B25F29"/>
    <w:rsid w:val="00B2631A"/>
    <w:rsid w:val="00B26937"/>
    <w:rsid w:val="00B26CD2"/>
    <w:rsid w:val="00B26E42"/>
    <w:rsid w:val="00B274DC"/>
    <w:rsid w:val="00B27829"/>
    <w:rsid w:val="00B27B99"/>
    <w:rsid w:val="00B30111"/>
    <w:rsid w:val="00B31A7E"/>
    <w:rsid w:val="00B31B29"/>
    <w:rsid w:val="00B328E4"/>
    <w:rsid w:val="00B33DDE"/>
    <w:rsid w:val="00B33FB0"/>
    <w:rsid w:val="00B347F3"/>
    <w:rsid w:val="00B34B00"/>
    <w:rsid w:val="00B34C23"/>
    <w:rsid w:val="00B34E43"/>
    <w:rsid w:val="00B34E48"/>
    <w:rsid w:val="00B36022"/>
    <w:rsid w:val="00B36231"/>
    <w:rsid w:val="00B402FF"/>
    <w:rsid w:val="00B40580"/>
    <w:rsid w:val="00B40D56"/>
    <w:rsid w:val="00B40F7E"/>
    <w:rsid w:val="00B4180E"/>
    <w:rsid w:val="00B41E9D"/>
    <w:rsid w:val="00B42C03"/>
    <w:rsid w:val="00B44562"/>
    <w:rsid w:val="00B45786"/>
    <w:rsid w:val="00B45A2B"/>
    <w:rsid w:val="00B46CBE"/>
    <w:rsid w:val="00B50F4A"/>
    <w:rsid w:val="00B51B73"/>
    <w:rsid w:val="00B52542"/>
    <w:rsid w:val="00B5299E"/>
    <w:rsid w:val="00B53074"/>
    <w:rsid w:val="00B57760"/>
    <w:rsid w:val="00B605F7"/>
    <w:rsid w:val="00B60EF2"/>
    <w:rsid w:val="00B6105C"/>
    <w:rsid w:val="00B61FFB"/>
    <w:rsid w:val="00B6411B"/>
    <w:rsid w:val="00B6501B"/>
    <w:rsid w:val="00B6736F"/>
    <w:rsid w:val="00B676C8"/>
    <w:rsid w:val="00B67D0C"/>
    <w:rsid w:val="00B70ACC"/>
    <w:rsid w:val="00B72011"/>
    <w:rsid w:val="00B72128"/>
    <w:rsid w:val="00B72356"/>
    <w:rsid w:val="00B7236D"/>
    <w:rsid w:val="00B74581"/>
    <w:rsid w:val="00B74D31"/>
    <w:rsid w:val="00B751A1"/>
    <w:rsid w:val="00B760B4"/>
    <w:rsid w:val="00B778BE"/>
    <w:rsid w:val="00B77949"/>
    <w:rsid w:val="00B80D45"/>
    <w:rsid w:val="00B80EAF"/>
    <w:rsid w:val="00B80FBA"/>
    <w:rsid w:val="00B81584"/>
    <w:rsid w:val="00B815D5"/>
    <w:rsid w:val="00B820FE"/>
    <w:rsid w:val="00B8286B"/>
    <w:rsid w:val="00B839CD"/>
    <w:rsid w:val="00B83D3E"/>
    <w:rsid w:val="00B83DEE"/>
    <w:rsid w:val="00B83E6C"/>
    <w:rsid w:val="00B84CE8"/>
    <w:rsid w:val="00B85B3C"/>
    <w:rsid w:val="00B86A0E"/>
    <w:rsid w:val="00B87F33"/>
    <w:rsid w:val="00B90070"/>
    <w:rsid w:val="00B91320"/>
    <w:rsid w:val="00B91B39"/>
    <w:rsid w:val="00B92F62"/>
    <w:rsid w:val="00B93802"/>
    <w:rsid w:val="00B95152"/>
    <w:rsid w:val="00B952FB"/>
    <w:rsid w:val="00B96462"/>
    <w:rsid w:val="00B971FD"/>
    <w:rsid w:val="00BA07AD"/>
    <w:rsid w:val="00BA0EBF"/>
    <w:rsid w:val="00BA1999"/>
    <w:rsid w:val="00BA1DE6"/>
    <w:rsid w:val="00BA1EBC"/>
    <w:rsid w:val="00BA328A"/>
    <w:rsid w:val="00BA374C"/>
    <w:rsid w:val="00BA3D47"/>
    <w:rsid w:val="00BA40B3"/>
    <w:rsid w:val="00BA465A"/>
    <w:rsid w:val="00BA47A1"/>
    <w:rsid w:val="00BA5659"/>
    <w:rsid w:val="00BA58C2"/>
    <w:rsid w:val="00BA5A4F"/>
    <w:rsid w:val="00BA5BAD"/>
    <w:rsid w:val="00BA600F"/>
    <w:rsid w:val="00BA6299"/>
    <w:rsid w:val="00BA649A"/>
    <w:rsid w:val="00BA7B4D"/>
    <w:rsid w:val="00BB0418"/>
    <w:rsid w:val="00BB05C1"/>
    <w:rsid w:val="00BB0A81"/>
    <w:rsid w:val="00BB18BD"/>
    <w:rsid w:val="00BB1A99"/>
    <w:rsid w:val="00BB2C7B"/>
    <w:rsid w:val="00BB3E9A"/>
    <w:rsid w:val="00BB4E91"/>
    <w:rsid w:val="00BB5A6E"/>
    <w:rsid w:val="00BB674F"/>
    <w:rsid w:val="00BB6764"/>
    <w:rsid w:val="00BB69AD"/>
    <w:rsid w:val="00BB6E1C"/>
    <w:rsid w:val="00BB739E"/>
    <w:rsid w:val="00BC019B"/>
    <w:rsid w:val="00BC0490"/>
    <w:rsid w:val="00BC100F"/>
    <w:rsid w:val="00BC258C"/>
    <w:rsid w:val="00BC2E3E"/>
    <w:rsid w:val="00BC3142"/>
    <w:rsid w:val="00BC335D"/>
    <w:rsid w:val="00BC3A20"/>
    <w:rsid w:val="00BC3C0E"/>
    <w:rsid w:val="00BC52C9"/>
    <w:rsid w:val="00BC5ABD"/>
    <w:rsid w:val="00BC6BDA"/>
    <w:rsid w:val="00BC6DAD"/>
    <w:rsid w:val="00BD10C8"/>
    <w:rsid w:val="00BD16E8"/>
    <w:rsid w:val="00BD255E"/>
    <w:rsid w:val="00BD2C6A"/>
    <w:rsid w:val="00BD2E63"/>
    <w:rsid w:val="00BD6022"/>
    <w:rsid w:val="00BD60A5"/>
    <w:rsid w:val="00BD60FF"/>
    <w:rsid w:val="00BD7AC5"/>
    <w:rsid w:val="00BD7F4D"/>
    <w:rsid w:val="00BE0E84"/>
    <w:rsid w:val="00BE1586"/>
    <w:rsid w:val="00BE19B8"/>
    <w:rsid w:val="00BE2B7F"/>
    <w:rsid w:val="00BE2C75"/>
    <w:rsid w:val="00BE369D"/>
    <w:rsid w:val="00BE3B36"/>
    <w:rsid w:val="00BE4D03"/>
    <w:rsid w:val="00BE5CEA"/>
    <w:rsid w:val="00BE7017"/>
    <w:rsid w:val="00BE7378"/>
    <w:rsid w:val="00BE788D"/>
    <w:rsid w:val="00BE7906"/>
    <w:rsid w:val="00BE798B"/>
    <w:rsid w:val="00BF0969"/>
    <w:rsid w:val="00BF0A1B"/>
    <w:rsid w:val="00BF108E"/>
    <w:rsid w:val="00BF15F0"/>
    <w:rsid w:val="00BF1BD6"/>
    <w:rsid w:val="00BF1C6B"/>
    <w:rsid w:val="00BF3658"/>
    <w:rsid w:val="00BF3F9C"/>
    <w:rsid w:val="00BF49B0"/>
    <w:rsid w:val="00BF59F4"/>
    <w:rsid w:val="00BF601D"/>
    <w:rsid w:val="00BF6820"/>
    <w:rsid w:val="00BF74C7"/>
    <w:rsid w:val="00C00F72"/>
    <w:rsid w:val="00C01D3E"/>
    <w:rsid w:val="00C01DDE"/>
    <w:rsid w:val="00C025B3"/>
    <w:rsid w:val="00C03EAD"/>
    <w:rsid w:val="00C03FFD"/>
    <w:rsid w:val="00C04D10"/>
    <w:rsid w:val="00C05116"/>
    <w:rsid w:val="00C0606C"/>
    <w:rsid w:val="00C063AD"/>
    <w:rsid w:val="00C0674F"/>
    <w:rsid w:val="00C0696D"/>
    <w:rsid w:val="00C0797C"/>
    <w:rsid w:val="00C1086B"/>
    <w:rsid w:val="00C128D8"/>
    <w:rsid w:val="00C12E3D"/>
    <w:rsid w:val="00C12ECA"/>
    <w:rsid w:val="00C13840"/>
    <w:rsid w:val="00C141C9"/>
    <w:rsid w:val="00C14FD6"/>
    <w:rsid w:val="00C15BA8"/>
    <w:rsid w:val="00C17751"/>
    <w:rsid w:val="00C17A3D"/>
    <w:rsid w:val="00C203D4"/>
    <w:rsid w:val="00C21E75"/>
    <w:rsid w:val="00C22D7A"/>
    <w:rsid w:val="00C23D65"/>
    <w:rsid w:val="00C24009"/>
    <w:rsid w:val="00C25FD4"/>
    <w:rsid w:val="00C26C41"/>
    <w:rsid w:val="00C26CA2"/>
    <w:rsid w:val="00C27744"/>
    <w:rsid w:val="00C30062"/>
    <w:rsid w:val="00C3034F"/>
    <w:rsid w:val="00C31072"/>
    <w:rsid w:val="00C3162E"/>
    <w:rsid w:val="00C3202D"/>
    <w:rsid w:val="00C32603"/>
    <w:rsid w:val="00C32AD1"/>
    <w:rsid w:val="00C330BA"/>
    <w:rsid w:val="00C3343D"/>
    <w:rsid w:val="00C33A68"/>
    <w:rsid w:val="00C35184"/>
    <w:rsid w:val="00C35711"/>
    <w:rsid w:val="00C3578C"/>
    <w:rsid w:val="00C36094"/>
    <w:rsid w:val="00C363B9"/>
    <w:rsid w:val="00C36C10"/>
    <w:rsid w:val="00C36D34"/>
    <w:rsid w:val="00C36DC8"/>
    <w:rsid w:val="00C37F61"/>
    <w:rsid w:val="00C410D1"/>
    <w:rsid w:val="00C4672B"/>
    <w:rsid w:val="00C468E9"/>
    <w:rsid w:val="00C46D5D"/>
    <w:rsid w:val="00C4747B"/>
    <w:rsid w:val="00C50971"/>
    <w:rsid w:val="00C518BE"/>
    <w:rsid w:val="00C52BC8"/>
    <w:rsid w:val="00C52E2C"/>
    <w:rsid w:val="00C54E0A"/>
    <w:rsid w:val="00C55424"/>
    <w:rsid w:val="00C5551A"/>
    <w:rsid w:val="00C55F54"/>
    <w:rsid w:val="00C565EB"/>
    <w:rsid w:val="00C56B47"/>
    <w:rsid w:val="00C5760E"/>
    <w:rsid w:val="00C5770E"/>
    <w:rsid w:val="00C6150A"/>
    <w:rsid w:val="00C6154C"/>
    <w:rsid w:val="00C61594"/>
    <w:rsid w:val="00C620D3"/>
    <w:rsid w:val="00C62AC5"/>
    <w:rsid w:val="00C630AC"/>
    <w:rsid w:val="00C6410B"/>
    <w:rsid w:val="00C64265"/>
    <w:rsid w:val="00C6448D"/>
    <w:rsid w:val="00C64564"/>
    <w:rsid w:val="00C64F92"/>
    <w:rsid w:val="00C658EB"/>
    <w:rsid w:val="00C6664D"/>
    <w:rsid w:val="00C666F1"/>
    <w:rsid w:val="00C66CBE"/>
    <w:rsid w:val="00C67342"/>
    <w:rsid w:val="00C67743"/>
    <w:rsid w:val="00C67A0D"/>
    <w:rsid w:val="00C704C0"/>
    <w:rsid w:val="00C70B92"/>
    <w:rsid w:val="00C7227F"/>
    <w:rsid w:val="00C7284E"/>
    <w:rsid w:val="00C731F5"/>
    <w:rsid w:val="00C73A7C"/>
    <w:rsid w:val="00C73DF2"/>
    <w:rsid w:val="00C73F8B"/>
    <w:rsid w:val="00C7417D"/>
    <w:rsid w:val="00C74DF9"/>
    <w:rsid w:val="00C763CC"/>
    <w:rsid w:val="00C76859"/>
    <w:rsid w:val="00C76C16"/>
    <w:rsid w:val="00C800BF"/>
    <w:rsid w:val="00C80F89"/>
    <w:rsid w:val="00C813DE"/>
    <w:rsid w:val="00C82523"/>
    <w:rsid w:val="00C82B48"/>
    <w:rsid w:val="00C83623"/>
    <w:rsid w:val="00C836D5"/>
    <w:rsid w:val="00C842A2"/>
    <w:rsid w:val="00C850E2"/>
    <w:rsid w:val="00C85781"/>
    <w:rsid w:val="00C85E86"/>
    <w:rsid w:val="00C86BA3"/>
    <w:rsid w:val="00C871A4"/>
    <w:rsid w:val="00C935C3"/>
    <w:rsid w:val="00C93A92"/>
    <w:rsid w:val="00C93C59"/>
    <w:rsid w:val="00C95C76"/>
    <w:rsid w:val="00C95DED"/>
    <w:rsid w:val="00C96196"/>
    <w:rsid w:val="00C96E2F"/>
    <w:rsid w:val="00C9765D"/>
    <w:rsid w:val="00CA011C"/>
    <w:rsid w:val="00CA1CD7"/>
    <w:rsid w:val="00CA34C2"/>
    <w:rsid w:val="00CA3920"/>
    <w:rsid w:val="00CA42E3"/>
    <w:rsid w:val="00CA4517"/>
    <w:rsid w:val="00CA46AB"/>
    <w:rsid w:val="00CA58F5"/>
    <w:rsid w:val="00CA6417"/>
    <w:rsid w:val="00CA66C7"/>
    <w:rsid w:val="00CA7476"/>
    <w:rsid w:val="00CA7ABE"/>
    <w:rsid w:val="00CB0169"/>
    <w:rsid w:val="00CB01EE"/>
    <w:rsid w:val="00CB0364"/>
    <w:rsid w:val="00CB0980"/>
    <w:rsid w:val="00CB16E7"/>
    <w:rsid w:val="00CB1C0A"/>
    <w:rsid w:val="00CB21EF"/>
    <w:rsid w:val="00CB3948"/>
    <w:rsid w:val="00CB3E09"/>
    <w:rsid w:val="00CB4B18"/>
    <w:rsid w:val="00CB4C95"/>
    <w:rsid w:val="00CB6C76"/>
    <w:rsid w:val="00CB6D58"/>
    <w:rsid w:val="00CB7D30"/>
    <w:rsid w:val="00CC03FC"/>
    <w:rsid w:val="00CC05D4"/>
    <w:rsid w:val="00CC40CD"/>
    <w:rsid w:val="00CC494D"/>
    <w:rsid w:val="00CC5012"/>
    <w:rsid w:val="00CC54C1"/>
    <w:rsid w:val="00CC5A0C"/>
    <w:rsid w:val="00CC5E8C"/>
    <w:rsid w:val="00CC6938"/>
    <w:rsid w:val="00CC6B01"/>
    <w:rsid w:val="00CC701F"/>
    <w:rsid w:val="00CD0E49"/>
    <w:rsid w:val="00CD1356"/>
    <w:rsid w:val="00CD1698"/>
    <w:rsid w:val="00CD1B1A"/>
    <w:rsid w:val="00CD23CE"/>
    <w:rsid w:val="00CD25EE"/>
    <w:rsid w:val="00CD2DE7"/>
    <w:rsid w:val="00CD3EED"/>
    <w:rsid w:val="00CD51E0"/>
    <w:rsid w:val="00CD5C1C"/>
    <w:rsid w:val="00CD7068"/>
    <w:rsid w:val="00CD71C8"/>
    <w:rsid w:val="00CE1191"/>
    <w:rsid w:val="00CE168B"/>
    <w:rsid w:val="00CE177A"/>
    <w:rsid w:val="00CE1820"/>
    <w:rsid w:val="00CE213F"/>
    <w:rsid w:val="00CE2279"/>
    <w:rsid w:val="00CE2B79"/>
    <w:rsid w:val="00CE2C00"/>
    <w:rsid w:val="00CE2D60"/>
    <w:rsid w:val="00CE3C9A"/>
    <w:rsid w:val="00CE4CD5"/>
    <w:rsid w:val="00CE6381"/>
    <w:rsid w:val="00CE6AC0"/>
    <w:rsid w:val="00CE755B"/>
    <w:rsid w:val="00CE78E6"/>
    <w:rsid w:val="00CF0663"/>
    <w:rsid w:val="00CF1CEF"/>
    <w:rsid w:val="00CF245C"/>
    <w:rsid w:val="00CF26A3"/>
    <w:rsid w:val="00CF350E"/>
    <w:rsid w:val="00CF38DF"/>
    <w:rsid w:val="00CF3F70"/>
    <w:rsid w:val="00CF4D98"/>
    <w:rsid w:val="00CF5166"/>
    <w:rsid w:val="00CF63C2"/>
    <w:rsid w:val="00CF69AC"/>
    <w:rsid w:val="00CF6FFA"/>
    <w:rsid w:val="00CF723C"/>
    <w:rsid w:val="00CF7693"/>
    <w:rsid w:val="00D000ED"/>
    <w:rsid w:val="00D00E62"/>
    <w:rsid w:val="00D012E6"/>
    <w:rsid w:val="00D016CA"/>
    <w:rsid w:val="00D017BE"/>
    <w:rsid w:val="00D01B03"/>
    <w:rsid w:val="00D031D0"/>
    <w:rsid w:val="00D035A9"/>
    <w:rsid w:val="00D03D6B"/>
    <w:rsid w:val="00D03EEE"/>
    <w:rsid w:val="00D04082"/>
    <w:rsid w:val="00D047F3"/>
    <w:rsid w:val="00D04B61"/>
    <w:rsid w:val="00D063A9"/>
    <w:rsid w:val="00D07096"/>
    <w:rsid w:val="00D07A08"/>
    <w:rsid w:val="00D11C81"/>
    <w:rsid w:val="00D11DAA"/>
    <w:rsid w:val="00D11EEA"/>
    <w:rsid w:val="00D1208F"/>
    <w:rsid w:val="00D133EA"/>
    <w:rsid w:val="00D1593E"/>
    <w:rsid w:val="00D17126"/>
    <w:rsid w:val="00D20B0D"/>
    <w:rsid w:val="00D21E42"/>
    <w:rsid w:val="00D21F82"/>
    <w:rsid w:val="00D24132"/>
    <w:rsid w:val="00D24153"/>
    <w:rsid w:val="00D24548"/>
    <w:rsid w:val="00D257F7"/>
    <w:rsid w:val="00D25BE4"/>
    <w:rsid w:val="00D26276"/>
    <w:rsid w:val="00D26338"/>
    <w:rsid w:val="00D26E98"/>
    <w:rsid w:val="00D27718"/>
    <w:rsid w:val="00D30081"/>
    <w:rsid w:val="00D30C4A"/>
    <w:rsid w:val="00D30D19"/>
    <w:rsid w:val="00D31AC2"/>
    <w:rsid w:val="00D31AE6"/>
    <w:rsid w:val="00D31F92"/>
    <w:rsid w:val="00D340C2"/>
    <w:rsid w:val="00D343B2"/>
    <w:rsid w:val="00D3532B"/>
    <w:rsid w:val="00D35DA5"/>
    <w:rsid w:val="00D37211"/>
    <w:rsid w:val="00D376C1"/>
    <w:rsid w:val="00D41B5E"/>
    <w:rsid w:val="00D41E2F"/>
    <w:rsid w:val="00D42D09"/>
    <w:rsid w:val="00D4301D"/>
    <w:rsid w:val="00D43181"/>
    <w:rsid w:val="00D4425D"/>
    <w:rsid w:val="00D4450E"/>
    <w:rsid w:val="00D457F1"/>
    <w:rsid w:val="00D45CE3"/>
    <w:rsid w:val="00D47FA2"/>
    <w:rsid w:val="00D50345"/>
    <w:rsid w:val="00D504AF"/>
    <w:rsid w:val="00D5330D"/>
    <w:rsid w:val="00D53FF7"/>
    <w:rsid w:val="00D54A7A"/>
    <w:rsid w:val="00D553ED"/>
    <w:rsid w:val="00D5549E"/>
    <w:rsid w:val="00D5567C"/>
    <w:rsid w:val="00D56886"/>
    <w:rsid w:val="00D57009"/>
    <w:rsid w:val="00D60003"/>
    <w:rsid w:val="00D6050A"/>
    <w:rsid w:val="00D60528"/>
    <w:rsid w:val="00D61081"/>
    <w:rsid w:val="00D610D2"/>
    <w:rsid w:val="00D6123B"/>
    <w:rsid w:val="00D6182B"/>
    <w:rsid w:val="00D630C5"/>
    <w:rsid w:val="00D65FAC"/>
    <w:rsid w:val="00D66EE5"/>
    <w:rsid w:val="00D71451"/>
    <w:rsid w:val="00D72441"/>
    <w:rsid w:val="00D72ADC"/>
    <w:rsid w:val="00D72BA6"/>
    <w:rsid w:val="00D72FD9"/>
    <w:rsid w:val="00D736FF"/>
    <w:rsid w:val="00D7397C"/>
    <w:rsid w:val="00D74B2C"/>
    <w:rsid w:val="00D753F1"/>
    <w:rsid w:val="00D7728C"/>
    <w:rsid w:val="00D77F1F"/>
    <w:rsid w:val="00D8005B"/>
    <w:rsid w:val="00D800C7"/>
    <w:rsid w:val="00D8163E"/>
    <w:rsid w:val="00D81CB6"/>
    <w:rsid w:val="00D83F66"/>
    <w:rsid w:val="00D84429"/>
    <w:rsid w:val="00D84D51"/>
    <w:rsid w:val="00D85B44"/>
    <w:rsid w:val="00D8698C"/>
    <w:rsid w:val="00D86CE5"/>
    <w:rsid w:val="00D87304"/>
    <w:rsid w:val="00D8746E"/>
    <w:rsid w:val="00D87AF6"/>
    <w:rsid w:val="00D87CA6"/>
    <w:rsid w:val="00D9071B"/>
    <w:rsid w:val="00D90740"/>
    <w:rsid w:val="00D91B1D"/>
    <w:rsid w:val="00D937B0"/>
    <w:rsid w:val="00D951D2"/>
    <w:rsid w:val="00D96D8D"/>
    <w:rsid w:val="00D9781D"/>
    <w:rsid w:val="00D97CCD"/>
    <w:rsid w:val="00DA0936"/>
    <w:rsid w:val="00DA11D1"/>
    <w:rsid w:val="00DA14A8"/>
    <w:rsid w:val="00DA1B70"/>
    <w:rsid w:val="00DA23DC"/>
    <w:rsid w:val="00DA26FE"/>
    <w:rsid w:val="00DA3DE4"/>
    <w:rsid w:val="00DA51AD"/>
    <w:rsid w:val="00DA7373"/>
    <w:rsid w:val="00DB06DD"/>
    <w:rsid w:val="00DB1138"/>
    <w:rsid w:val="00DB2161"/>
    <w:rsid w:val="00DB28B7"/>
    <w:rsid w:val="00DB2E78"/>
    <w:rsid w:val="00DB3929"/>
    <w:rsid w:val="00DB40FD"/>
    <w:rsid w:val="00DB5075"/>
    <w:rsid w:val="00DB52F8"/>
    <w:rsid w:val="00DB5BAD"/>
    <w:rsid w:val="00DB733D"/>
    <w:rsid w:val="00DC0027"/>
    <w:rsid w:val="00DC046E"/>
    <w:rsid w:val="00DC0616"/>
    <w:rsid w:val="00DC0B7E"/>
    <w:rsid w:val="00DC1426"/>
    <w:rsid w:val="00DC1A0D"/>
    <w:rsid w:val="00DC4563"/>
    <w:rsid w:val="00DC607F"/>
    <w:rsid w:val="00DC644A"/>
    <w:rsid w:val="00DC7D47"/>
    <w:rsid w:val="00DD0151"/>
    <w:rsid w:val="00DD1BAB"/>
    <w:rsid w:val="00DD1DDF"/>
    <w:rsid w:val="00DD1EC3"/>
    <w:rsid w:val="00DD2076"/>
    <w:rsid w:val="00DD209E"/>
    <w:rsid w:val="00DD249B"/>
    <w:rsid w:val="00DD2E59"/>
    <w:rsid w:val="00DD385F"/>
    <w:rsid w:val="00DD3B2F"/>
    <w:rsid w:val="00DD3C36"/>
    <w:rsid w:val="00DD442C"/>
    <w:rsid w:val="00DD487F"/>
    <w:rsid w:val="00DD521D"/>
    <w:rsid w:val="00DD6A49"/>
    <w:rsid w:val="00DD746E"/>
    <w:rsid w:val="00DD7742"/>
    <w:rsid w:val="00DD7EF3"/>
    <w:rsid w:val="00DE19EB"/>
    <w:rsid w:val="00DE1B5D"/>
    <w:rsid w:val="00DE1D2C"/>
    <w:rsid w:val="00DE2239"/>
    <w:rsid w:val="00DE2B6B"/>
    <w:rsid w:val="00DE2DFD"/>
    <w:rsid w:val="00DE4BCD"/>
    <w:rsid w:val="00DE6595"/>
    <w:rsid w:val="00DF03BB"/>
    <w:rsid w:val="00DF0B13"/>
    <w:rsid w:val="00DF0FD7"/>
    <w:rsid w:val="00DF0FEA"/>
    <w:rsid w:val="00DF12E3"/>
    <w:rsid w:val="00DF1E3E"/>
    <w:rsid w:val="00DF1FBB"/>
    <w:rsid w:val="00DF430D"/>
    <w:rsid w:val="00DF441D"/>
    <w:rsid w:val="00DF4952"/>
    <w:rsid w:val="00DF5B87"/>
    <w:rsid w:val="00DF5C3D"/>
    <w:rsid w:val="00DF6367"/>
    <w:rsid w:val="00DF7933"/>
    <w:rsid w:val="00DF799F"/>
    <w:rsid w:val="00DF7A05"/>
    <w:rsid w:val="00E002DE"/>
    <w:rsid w:val="00E006B6"/>
    <w:rsid w:val="00E0080F"/>
    <w:rsid w:val="00E02269"/>
    <w:rsid w:val="00E02B4F"/>
    <w:rsid w:val="00E03577"/>
    <w:rsid w:val="00E03A02"/>
    <w:rsid w:val="00E03F23"/>
    <w:rsid w:val="00E06A26"/>
    <w:rsid w:val="00E06AD6"/>
    <w:rsid w:val="00E072F7"/>
    <w:rsid w:val="00E07AAE"/>
    <w:rsid w:val="00E07E09"/>
    <w:rsid w:val="00E11512"/>
    <w:rsid w:val="00E1184C"/>
    <w:rsid w:val="00E118B9"/>
    <w:rsid w:val="00E12222"/>
    <w:rsid w:val="00E12290"/>
    <w:rsid w:val="00E1233C"/>
    <w:rsid w:val="00E1257B"/>
    <w:rsid w:val="00E13009"/>
    <w:rsid w:val="00E13393"/>
    <w:rsid w:val="00E13B6F"/>
    <w:rsid w:val="00E15C22"/>
    <w:rsid w:val="00E1697E"/>
    <w:rsid w:val="00E16BBA"/>
    <w:rsid w:val="00E177A4"/>
    <w:rsid w:val="00E20CBA"/>
    <w:rsid w:val="00E22500"/>
    <w:rsid w:val="00E22F68"/>
    <w:rsid w:val="00E236F4"/>
    <w:rsid w:val="00E23819"/>
    <w:rsid w:val="00E24FB3"/>
    <w:rsid w:val="00E25068"/>
    <w:rsid w:val="00E2557A"/>
    <w:rsid w:val="00E25D81"/>
    <w:rsid w:val="00E26AF2"/>
    <w:rsid w:val="00E26FAE"/>
    <w:rsid w:val="00E2762E"/>
    <w:rsid w:val="00E27EFA"/>
    <w:rsid w:val="00E303E0"/>
    <w:rsid w:val="00E30408"/>
    <w:rsid w:val="00E30FC7"/>
    <w:rsid w:val="00E320DA"/>
    <w:rsid w:val="00E32B86"/>
    <w:rsid w:val="00E32D30"/>
    <w:rsid w:val="00E32E15"/>
    <w:rsid w:val="00E33548"/>
    <w:rsid w:val="00E33AC2"/>
    <w:rsid w:val="00E33AD1"/>
    <w:rsid w:val="00E33F8E"/>
    <w:rsid w:val="00E3565F"/>
    <w:rsid w:val="00E3580C"/>
    <w:rsid w:val="00E35CBE"/>
    <w:rsid w:val="00E3615D"/>
    <w:rsid w:val="00E400BB"/>
    <w:rsid w:val="00E40516"/>
    <w:rsid w:val="00E405F5"/>
    <w:rsid w:val="00E4083F"/>
    <w:rsid w:val="00E40CC0"/>
    <w:rsid w:val="00E41521"/>
    <w:rsid w:val="00E42668"/>
    <w:rsid w:val="00E42B00"/>
    <w:rsid w:val="00E43FF0"/>
    <w:rsid w:val="00E44698"/>
    <w:rsid w:val="00E44F0D"/>
    <w:rsid w:val="00E455F5"/>
    <w:rsid w:val="00E456A8"/>
    <w:rsid w:val="00E45970"/>
    <w:rsid w:val="00E467A9"/>
    <w:rsid w:val="00E469C3"/>
    <w:rsid w:val="00E47885"/>
    <w:rsid w:val="00E47B24"/>
    <w:rsid w:val="00E47B79"/>
    <w:rsid w:val="00E52AC3"/>
    <w:rsid w:val="00E5309B"/>
    <w:rsid w:val="00E53133"/>
    <w:rsid w:val="00E53849"/>
    <w:rsid w:val="00E538D9"/>
    <w:rsid w:val="00E53D0E"/>
    <w:rsid w:val="00E53E04"/>
    <w:rsid w:val="00E54270"/>
    <w:rsid w:val="00E547ED"/>
    <w:rsid w:val="00E554A9"/>
    <w:rsid w:val="00E56197"/>
    <w:rsid w:val="00E56850"/>
    <w:rsid w:val="00E56B69"/>
    <w:rsid w:val="00E57014"/>
    <w:rsid w:val="00E572B4"/>
    <w:rsid w:val="00E57F94"/>
    <w:rsid w:val="00E60310"/>
    <w:rsid w:val="00E60CAE"/>
    <w:rsid w:val="00E617C1"/>
    <w:rsid w:val="00E61935"/>
    <w:rsid w:val="00E62EB1"/>
    <w:rsid w:val="00E631B9"/>
    <w:rsid w:val="00E6358A"/>
    <w:rsid w:val="00E63CB4"/>
    <w:rsid w:val="00E64173"/>
    <w:rsid w:val="00E6495B"/>
    <w:rsid w:val="00E6514B"/>
    <w:rsid w:val="00E66440"/>
    <w:rsid w:val="00E666FB"/>
    <w:rsid w:val="00E6695E"/>
    <w:rsid w:val="00E66A42"/>
    <w:rsid w:val="00E66C0C"/>
    <w:rsid w:val="00E7153C"/>
    <w:rsid w:val="00E71B13"/>
    <w:rsid w:val="00E71DC2"/>
    <w:rsid w:val="00E72564"/>
    <w:rsid w:val="00E73425"/>
    <w:rsid w:val="00E7379C"/>
    <w:rsid w:val="00E74359"/>
    <w:rsid w:val="00E749DD"/>
    <w:rsid w:val="00E76266"/>
    <w:rsid w:val="00E76642"/>
    <w:rsid w:val="00E76D8C"/>
    <w:rsid w:val="00E77E0E"/>
    <w:rsid w:val="00E81457"/>
    <w:rsid w:val="00E821D7"/>
    <w:rsid w:val="00E8274E"/>
    <w:rsid w:val="00E82BC5"/>
    <w:rsid w:val="00E83CD4"/>
    <w:rsid w:val="00E85AD0"/>
    <w:rsid w:val="00E87A9C"/>
    <w:rsid w:val="00E87B7D"/>
    <w:rsid w:val="00E9045F"/>
    <w:rsid w:val="00E920C5"/>
    <w:rsid w:val="00E934A6"/>
    <w:rsid w:val="00E94FAC"/>
    <w:rsid w:val="00E97011"/>
    <w:rsid w:val="00E97303"/>
    <w:rsid w:val="00E978B5"/>
    <w:rsid w:val="00E97D98"/>
    <w:rsid w:val="00EA0048"/>
    <w:rsid w:val="00EA0096"/>
    <w:rsid w:val="00EA0692"/>
    <w:rsid w:val="00EA1466"/>
    <w:rsid w:val="00EA3363"/>
    <w:rsid w:val="00EA34B8"/>
    <w:rsid w:val="00EA3E7A"/>
    <w:rsid w:val="00EA3FD8"/>
    <w:rsid w:val="00EA425E"/>
    <w:rsid w:val="00EA4330"/>
    <w:rsid w:val="00EA4F4E"/>
    <w:rsid w:val="00EA5261"/>
    <w:rsid w:val="00EA5EB5"/>
    <w:rsid w:val="00EA5EFF"/>
    <w:rsid w:val="00EA74CD"/>
    <w:rsid w:val="00EA7D9F"/>
    <w:rsid w:val="00EB196C"/>
    <w:rsid w:val="00EB2525"/>
    <w:rsid w:val="00EB2541"/>
    <w:rsid w:val="00EB2A4D"/>
    <w:rsid w:val="00EB349C"/>
    <w:rsid w:val="00EB574C"/>
    <w:rsid w:val="00EB5D91"/>
    <w:rsid w:val="00EB703B"/>
    <w:rsid w:val="00EB73AE"/>
    <w:rsid w:val="00EC014C"/>
    <w:rsid w:val="00EC1679"/>
    <w:rsid w:val="00EC20D0"/>
    <w:rsid w:val="00EC2129"/>
    <w:rsid w:val="00EC24FD"/>
    <w:rsid w:val="00EC2961"/>
    <w:rsid w:val="00EC2DED"/>
    <w:rsid w:val="00EC3504"/>
    <w:rsid w:val="00EC395D"/>
    <w:rsid w:val="00EC57DE"/>
    <w:rsid w:val="00EC66F2"/>
    <w:rsid w:val="00EC7A06"/>
    <w:rsid w:val="00EC7A72"/>
    <w:rsid w:val="00EC7B7C"/>
    <w:rsid w:val="00ED0D1D"/>
    <w:rsid w:val="00ED12BE"/>
    <w:rsid w:val="00ED3597"/>
    <w:rsid w:val="00ED485F"/>
    <w:rsid w:val="00ED5598"/>
    <w:rsid w:val="00ED5AF8"/>
    <w:rsid w:val="00ED5EA1"/>
    <w:rsid w:val="00ED6004"/>
    <w:rsid w:val="00ED6B1B"/>
    <w:rsid w:val="00EE02CF"/>
    <w:rsid w:val="00EE0AAC"/>
    <w:rsid w:val="00EE11DA"/>
    <w:rsid w:val="00EE15B3"/>
    <w:rsid w:val="00EE1BC5"/>
    <w:rsid w:val="00EE22EA"/>
    <w:rsid w:val="00EE2345"/>
    <w:rsid w:val="00EE2B66"/>
    <w:rsid w:val="00EE2E28"/>
    <w:rsid w:val="00EE3FF2"/>
    <w:rsid w:val="00EE417F"/>
    <w:rsid w:val="00EE470A"/>
    <w:rsid w:val="00EE47E7"/>
    <w:rsid w:val="00EE564A"/>
    <w:rsid w:val="00EE58BF"/>
    <w:rsid w:val="00EE5CCD"/>
    <w:rsid w:val="00EE612C"/>
    <w:rsid w:val="00EE6BDC"/>
    <w:rsid w:val="00EE715C"/>
    <w:rsid w:val="00EE7EA8"/>
    <w:rsid w:val="00EF132F"/>
    <w:rsid w:val="00EF1652"/>
    <w:rsid w:val="00EF1C0D"/>
    <w:rsid w:val="00EF24DD"/>
    <w:rsid w:val="00EF2524"/>
    <w:rsid w:val="00EF2C0A"/>
    <w:rsid w:val="00EF358F"/>
    <w:rsid w:val="00EF3763"/>
    <w:rsid w:val="00EF5884"/>
    <w:rsid w:val="00EF5A30"/>
    <w:rsid w:val="00EF5F03"/>
    <w:rsid w:val="00EF636C"/>
    <w:rsid w:val="00EF66DD"/>
    <w:rsid w:val="00EF66E3"/>
    <w:rsid w:val="00F00E12"/>
    <w:rsid w:val="00F012B1"/>
    <w:rsid w:val="00F01C3C"/>
    <w:rsid w:val="00F0291D"/>
    <w:rsid w:val="00F029D8"/>
    <w:rsid w:val="00F02B44"/>
    <w:rsid w:val="00F040FF"/>
    <w:rsid w:val="00F04D5D"/>
    <w:rsid w:val="00F0706C"/>
    <w:rsid w:val="00F07277"/>
    <w:rsid w:val="00F101F8"/>
    <w:rsid w:val="00F11128"/>
    <w:rsid w:val="00F1151B"/>
    <w:rsid w:val="00F116A3"/>
    <w:rsid w:val="00F1181C"/>
    <w:rsid w:val="00F11FB1"/>
    <w:rsid w:val="00F125F3"/>
    <w:rsid w:val="00F14514"/>
    <w:rsid w:val="00F14885"/>
    <w:rsid w:val="00F148B2"/>
    <w:rsid w:val="00F15895"/>
    <w:rsid w:val="00F15C6C"/>
    <w:rsid w:val="00F16673"/>
    <w:rsid w:val="00F1780A"/>
    <w:rsid w:val="00F17D1A"/>
    <w:rsid w:val="00F17D5E"/>
    <w:rsid w:val="00F17FDA"/>
    <w:rsid w:val="00F2011D"/>
    <w:rsid w:val="00F21D35"/>
    <w:rsid w:val="00F2207E"/>
    <w:rsid w:val="00F22455"/>
    <w:rsid w:val="00F236B4"/>
    <w:rsid w:val="00F23E53"/>
    <w:rsid w:val="00F23E72"/>
    <w:rsid w:val="00F24237"/>
    <w:rsid w:val="00F248A4"/>
    <w:rsid w:val="00F2523B"/>
    <w:rsid w:val="00F252A7"/>
    <w:rsid w:val="00F264CE"/>
    <w:rsid w:val="00F27031"/>
    <w:rsid w:val="00F2703C"/>
    <w:rsid w:val="00F27082"/>
    <w:rsid w:val="00F270E6"/>
    <w:rsid w:val="00F271C9"/>
    <w:rsid w:val="00F2721B"/>
    <w:rsid w:val="00F27246"/>
    <w:rsid w:val="00F274BF"/>
    <w:rsid w:val="00F27A32"/>
    <w:rsid w:val="00F27D23"/>
    <w:rsid w:val="00F30D97"/>
    <w:rsid w:val="00F30F36"/>
    <w:rsid w:val="00F314A9"/>
    <w:rsid w:val="00F31E9E"/>
    <w:rsid w:val="00F3213A"/>
    <w:rsid w:val="00F3274E"/>
    <w:rsid w:val="00F33539"/>
    <w:rsid w:val="00F345F1"/>
    <w:rsid w:val="00F3462E"/>
    <w:rsid w:val="00F34A8B"/>
    <w:rsid w:val="00F356A6"/>
    <w:rsid w:val="00F35DF9"/>
    <w:rsid w:val="00F35F9A"/>
    <w:rsid w:val="00F3693E"/>
    <w:rsid w:val="00F36A29"/>
    <w:rsid w:val="00F3738D"/>
    <w:rsid w:val="00F40CF0"/>
    <w:rsid w:val="00F42046"/>
    <w:rsid w:val="00F45218"/>
    <w:rsid w:val="00F456DC"/>
    <w:rsid w:val="00F465C8"/>
    <w:rsid w:val="00F47F47"/>
    <w:rsid w:val="00F50386"/>
    <w:rsid w:val="00F50E37"/>
    <w:rsid w:val="00F5182F"/>
    <w:rsid w:val="00F521A6"/>
    <w:rsid w:val="00F531FC"/>
    <w:rsid w:val="00F53B45"/>
    <w:rsid w:val="00F541B9"/>
    <w:rsid w:val="00F54486"/>
    <w:rsid w:val="00F54A4A"/>
    <w:rsid w:val="00F56EAB"/>
    <w:rsid w:val="00F572B7"/>
    <w:rsid w:val="00F5753F"/>
    <w:rsid w:val="00F57559"/>
    <w:rsid w:val="00F60B73"/>
    <w:rsid w:val="00F60D93"/>
    <w:rsid w:val="00F615A1"/>
    <w:rsid w:val="00F61A9E"/>
    <w:rsid w:val="00F63681"/>
    <w:rsid w:val="00F640BE"/>
    <w:rsid w:val="00F64156"/>
    <w:rsid w:val="00F6431A"/>
    <w:rsid w:val="00F64B7F"/>
    <w:rsid w:val="00F65784"/>
    <w:rsid w:val="00F65FBE"/>
    <w:rsid w:val="00F679DA"/>
    <w:rsid w:val="00F70979"/>
    <w:rsid w:val="00F70FCE"/>
    <w:rsid w:val="00F71B43"/>
    <w:rsid w:val="00F71F72"/>
    <w:rsid w:val="00F73811"/>
    <w:rsid w:val="00F75AE6"/>
    <w:rsid w:val="00F7637F"/>
    <w:rsid w:val="00F766DA"/>
    <w:rsid w:val="00F77BA2"/>
    <w:rsid w:val="00F8053B"/>
    <w:rsid w:val="00F81F7D"/>
    <w:rsid w:val="00F83154"/>
    <w:rsid w:val="00F832D3"/>
    <w:rsid w:val="00F837CC"/>
    <w:rsid w:val="00F84107"/>
    <w:rsid w:val="00F86236"/>
    <w:rsid w:val="00F87A0D"/>
    <w:rsid w:val="00F90C47"/>
    <w:rsid w:val="00F923E9"/>
    <w:rsid w:val="00F9259A"/>
    <w:rsid w:val="00F92DC1"/>
    <w:rsid w:val="00F93BCE"/>
    <w:rsid w:val="00F93DA4"/>
    <w:rsid w:val="00F9555C"/>
    <w:rsid w:val="00F95C6D"/>
    <w:rsid w:val="00F9642C"/>
    <w:rsid w:val="00F9738A"/>
    <w:rsid w:val="00F974F3"/>
    <w:rsid w:val="00F97B20"/>
    <w:rsid w:val="00FA1842"/>
    <w:rsid w:val="00FA29EF"/>
    <w:rsid w:val="00FA2C11"/>
    <w:rsid w:val="00FA30A5"/>
    <w:rsid w:val="00FA3709"/>
    <w:rsid w:val="00FA3993"/>
    <w:rsid w:val="00FA3EA5"/>
    <w:rsid w:val="00FA43C2"/>
    <w:rsid w:val="00FA4F5E"/>
    <w:rsid w:val="00FA57ED"/>
    <w:rsid w:val="00FA6496"/>
    <w:rsid w:val="00FA6A77"/>
    <w:rsid w:val="00FB03BD"/>
    <w:rsid w:val="00FB11A0"/>
    <w:rsid w:val="00FB14FE"/>
    <w:rsid w:val="00FB265B"/>
    <w:rsid w:val="00FB3FE6"/>
    <w:rsid w:val="00FB4C94"/>
    <w:rsid w:val="00FB5CF8"/>
    <w:rsid w:val="00FB6DAF"/>
    <w:rsid w:val="00FC044C"/>
    <w:rsid w:val="00FC0A4B"/>
    <w:rsid w:val="00FC2E65"/>
    <w:rsid w:val="00FC3AFF"/>
    <w:rsid w:val="00FC4494"/>
    <w:rsid w:val="00FC4AFC"/>
    <w:rsid w:val="00FD0974"/>
    <w:rsid w:val="00FD188A"/>
    <w:rsid w:val="00FD1905"/>
    <w:rsid w:val="00FD1C7E"/>
    <w:rsid w:val="00FD434A"/>
    <w:rsid w:val="00FD4C67"/>
    <w:rsid w:val="00FD4E6D"/>
    <w:rsid w:val="00FD5259"/>
    <w:rsid w:val="00FD71D1"/>
    <w:rsid w:val="00FD7988"/>
    <w:rsid w:val="00FE03A0"/>
    <w:rsid w:val="00FE12B4"/>
    <w:rsid w:val="00FE1AD5"/>
    <w:rsid w:val="00FE1E56"/>
    <w:rsid w:val="00FE211E"/>
    <w:rsid w:val="00FE2603"/>
    <w:rsid w:val="00FE3B6E"/>
    <w:rsid w:val="00FE3D17"/>
    <w:rsid w:val="00FE6443"/>
    <w:rsid w:val="00FE6685"/>
    <w:rsid w:val="00FE6C9C"/>
    <w:rsid w:val="00FE7213"/>
    <w:rsid w:val="00FE7C9C"/>
    <w:rsid w:val="00FF0154"/>
    <w:rsid w:val="00FF20A4"/>
    <w:rsid w:val="00FF2B7D"/>
    <w:rsid w:val="00FF2DBC"/>
    <w:rsid w:val="00FF3581"/>
    <w:rsid w:val="00FF425C"/>
    <w:rsid w:val="00FF57AF"/>
    <w:rsid w:val="00FF68DD"/>
    <w:rsid w:val="00FF7858"/>
    <w:rsid w:val="011F478E"/>
    <w:rsid w:val="013A1130"/>
    <w:rsid w:val="01414658"/>
    <w:rsid w:val="01474512"/>
    <w:rsid w:val="015B30EE"/>
    <w:rsid w:val="01B53780"/>
    <w:rsid w:val="01BF364C"/>
    <w:rsid w:val="01CF7251"/>
    <w:rsid w:val="01F63744"/>
    <w:rsid w:val="0222615D"/>
    <w:rsid w:val="02236824"/>
    <w:rsid w:val="022D4BC3"/>
    <w:rsid w:val="028426B0"/>
    <w:rsid w:val="031B2597"/>
    <w:rsid w:val="038A4E5A"/>
    <w:rsid w:val="03AB679F"/>
    <w:rsid w:val="03B875A9"/>
    <w:rsid w:val="03D012A8"/>
    <w:rsid w:val="03D73C4B"/>
    <w:rsid w:val="041451F9"/>
    <w:rsid w:val="0476464C"/>
    <w:rsid w:val="04AA2DF7"/>
    <w:rsid w:val="04BF387D"/>
    <w:rsid w:val="04F824D0"/>
    <w:rsid w:val="04F92F58"/>
    <w:rsid w:val="050C1B34"/>
    <w:rsid w:val="050E5F9C"/>
    <w:rsid w:val="05795B3E"/>
    <w:rsid w:val="057D35B7"/>
    <w:rsid w:val="059B3AAE"/>
    <w:rsid w:val="05B74D88"/>
    <w:rsid w:val="05C86530"/>
    <w:rsid w:val="05E70A8D"/>
    <w:rsid w:val="05F05689"/>
    <w:rsid w:val="062B4BF2"/>
    <w:rsid w:val="0686670B"/>
    <w:rsid w:val="06984505"/>
    <w:rsid w:val="07166970"/>
    <w:rsid w:val="073E1BD9"/>
    <w:rsid w:val="07550A0D"/>
    <w:rsid w:val="076013E0"/>
    <w:rsid w:val="077D2D70"/>
    <w:rsid w:val="07905D5A"/>
    <w:rsid w:val="07A74FB2"/>
    <w:rsid w:val="07F54BC0"/>
    <w:rsid w:val="081E113D"/>
    <w:rsid w:val="082008CE"/>
    <w:rsid w:val="084271A3"/>
    <w:rsid w:val="084E3529"/>
    <w:rsid w:val="08732BE6"/>
    <w:rsid w:val="08953074"/>
    <w:rsid w:val="08953FD7"/>
    <w:rsid w:val="08EE643E"/>
    <w:rsid w:val="092B438D"/>
    <w:rsid w:val="09652A3B"/>
    <w:rsid w:val="096B180A"/>
    <w:rsid w:val="09705438"/>
    <w:rsid w:val="097C6C10"/>
    <w:rsid w:val="09933D81"/>
    <w:rsid w:val="09A600A3"/>
    <w:rsid w:val="09A815EF"/>
    <w:rsid w:val="09BF0A5F"/>
    <w:rsid w:val="09E7370B"/>
    <w:rsid w:val="09FF14CE"/>
    <w:rsid w:val="0A26422C"/>
    <w:rsid w:val="0A800311"/>
    <w:rsid w:val="0A99181D"/>
    <w:rsid w:val="0A9C614A"/>
    <w:rsid w:val="0AFD778B"/>
    <w:rsid w:val="0B3003D8"/>
    <w:rsid w:val="0B6D3222"/>
    <w:rsid w:val="0B9C55C0"/>
    <w:rsid w:val="0BA421A8"/>
    <w:rsid w:val="0BA4684C"/>
    <w:rsid w:val="0BB42AF6"/>
    <w:rsid w:val="0BCF050F"/>
    <w:rsid w:val="0C1434FE"/>
    <w:rsid w:val="0C596928"/>
    <w:rsid w:val="0C660B78"/>
    <w:rsid w:val="0C7E6025"/>
    <w:rsid w:val="0CA641DD"/>
    <w:rsid w:val="0CC60B6C"/>
    <w:rsid w:val="0D0A5D09"/>
    <w:rsid w:val="0D2155A8"/>
    <w:rsid w:val="0D221DDF"/>
    <w:rsid w:val="0D533931"/>
    <w:rsid w:val="0D8060B5"/>
    <w:rsid w:val="0DC336E3"/>
    <w:rsid w:val="0DDD37ED"/>
    <w:rsid w:val="0E0A7653"/>
    <w:rsid w:val="0E1507A0"/>
    <w:rsid w:val="0E475C67"/>
    <w:rsid w:val="0E7526B5"/>
    <w:rsid w:val="0ECC765A"/>
    <w:rsid w:val="0EDB5CFB"/>
    <w:rsid w:val="0F0C458B"/>
    <w:rsid w:val="0F0F024B"/>
    <w:rsid w:val="0F5F2017"/>
    <w:rsid w:val="0F5F78EA"/>
    <w:rsid w:val="0FDE1BE5"/>
    <w:rsid w:val="0FE9305A"/>
    <w:rsid w:val="0FEF7C0A"/>
    <w:rsid w:val="10175EDA"/>
    <w:rsid w:val="10435247"/>
    <w:rsid w:val="10637A13"/>
    <w:rsid w:val="10817ED7"/>
    <w:rsid w:val="10DA2738"/>
    <w:rsid w:val="10F10C20"/>
    <w:rsid w:val="11647498"/>
    <w:rsid w:val="116E79F0"/>
    <w:rsid w:val="118A0495"/>
    <w:rsid w:val="119F5EB8"/>
    <w:rsid w:val="11B72F56"/>
    <w:rsid w:val="11D3202B"/>
    <w:rsid w:val="125E6002"/>
    <w:rsid w:val="12732B87"/>
    <w:rsid w:val="1296776D"/>
    <w:rsid w:val="12BF62B6"/>
    <w:rsid w:val="12C742F7"/>
    <w:rsid w:val="12DB4336"/>
    <w:rsid w:val="12F05378"/>
    <w:rsid w:val="12F56050"/>
    <w:rsid w:val="130A06A1"/>
    <w:rsid w:val="130B0F8E"/>
    <w:rsid w:val="132C75E5"/>
    <w:rsid w:val="138A677A"/>
    <w:rsid w:val="13920C1B"/>
    <w:rsid w:val="139E7937"/>
    <w:rsid w:val="13BC3585"/>
    <w:rsid w:val="13C30A2F"/>
    <w:rsid w:val="143762B6"/>
    <w:rsid w:val="14DB3B34"/>
    <w:rsid w:val="14E043C3"/>
    <w:rsid w:val="1515263B"/>
    <w:rsid w:val="15182ED1"/>
    <w:rsid w:val="1524417A"/>
    <w:rsid w:val="15270CC8"/>
    <w:rsid w:val="153F7393"/>
    <w:rsid w:val="154E2C8D"/>
    <w:rsid w:val="159D60AA"/>
    <w:rsid w:val="160E074B"/>
    <w:rsid w:val="161533F4"/>
    <w:rsid w:val="164B1687"/>
    <w:rsid w:val="165E3383"/>
    <w:rsid w:val="166321E2"/>
    <w:rsid w:val="166951DF"/>
    <w:rsid w:val="166F55AD"/>
    <w:rsid w:val="168A7548"/>
    <w:rsid w:val="168E35F3"/>
    <w:rsid w:val="16A042E2"/>
    <w:rsid w:val="16D6369B"/>
    <w:rsid w:val="16D704B9"/>
    <w:rsid w:val="170C0021"/>
    <w:rsid w:val="175D1EAE"/>
    <w:rsid w:val="178072CB"/>
    <w:rsid w:val="178B077E"/>
    <w:rsid w:val="17C5097C"/>
    <w:rsid w:val="17CD7F2C"/>
    <w:rsid w:val="17F220A2"/>
    <w:rsid w:val="17FA4F98"/>
    <w:rsid w:val="180E1CDE"/>
    <w:rsid w:val="183220F4"/>
    <w:rsid w:val="18A37E82"/>
    <w:rsid w:val="18A60350"/>
    <w:rsid w:val="18AC3253"/>
    <w:rsid w:val="18B629AF"/>
    <w:rsid w:val="18B814D1"/>
    <w:rsid w:val="18C01770"/>
    <w:rsid w:val="190E697D"/>
    <w:rsid w:val="194444AB"/>
    <w:rsid w:val="19503D2D"/>
    <w:rsid w:val="196C1CF0"/>
    <w:rsid w:val="1A15511C"/>
    <w:rsid w:val="1A4C04ED"/>
    <w:rsid w:val="1A4D7C55"/>
    <w:rsid w:val="1A5D6BD9"/>
    <w:rsid w:val="1A7549DA"/>
    <w:rsid w:val="1AA33CBC"/>
    <w:rsid w:val="1AF95386"/>
    <w:rsid w:val="1B1C2D2D"/>
    <w:rsid w:val="1B30632B"/>
    <w:rsid w:val="1B3262A6"/>
    <w:rsid w:val="1B3D3845"/>
    <w:rsid w:val="1B4B4845"/>
    <w:rsid w:val="1B6273E1"/>
    <w:rsid w:val="1BA04486"/>
    <w:rsid w:val="1BE95AA6"/>
    <w:rsid w:val="1C1E6B79"/>
    <w:rsid w:val="1C66496D"/>
    <w:rsid w:val="1CE31FD5"/>
    <w:rsid w:val="1D49300A"/>
    <w:rsid w:val="1D6C20DF"/>
    <w:rsid w:val="1D8D1246"/>
    <w:rsid w:val="1E491587"/>
    <w:rsid w:val="1E8933F5"/>
    <w:rsid w:val="1EBF464D"/>
    <w:rsid w:val="1EC16D2C"/>
    <w:rsid w:val="1EC835CB"/>
    <w:rsid w:val="1EF160BB"/>
    <w:rsid w:val="1F2C7FBC"/>
    <w:rsid w:val="1F5F1D69"/>
    <w:rsid w:val="1FEB264B"/>
    <w:rsid w:val="1FF76471"/>
    <w:rsid w:val="201574A1"/>
    <w:rsid w:val="202368F5"/>
    <w:rsid w:val="203505B5"/>
    <w:rsid w:val="20376A0E"/>
    <w:rsid w:val="203E3C53"/>
    <w:rsid w:val="206F2642"/>
    <w:rsid w:val="20822DE8"/>
    <w:rsid w:val="208E6AB2"/>
    <w:rsid w:val="20B2493E"/>
    <w:rsid w:val="20CB5CFA"/>
    <w:rsid w:val="20CC07CE"/>
    <w:rsid w:val="212A7045"/>
    <w:rsid w:val="21325E8A"/>
    <w:rsid w:val="21560235"/>
    <w:rsid w:val="21913DBA"/>
    <w:rsid w:val="21CC7DA6"/>
    <w:rsid w:val="22361832"/>
    <w:rsid w:val="22564C3B"/>
    <w:rsid w:val="227117F0"/>
    <w:rsid w:val="229270D1"/>
    <w:rsid w:val="229E596C"/>
    <w:rsid w:val="22B60D13"/>
    <w:rsid w:val="22E91128"/>
    <w:rsid w:val="232501E8"/>
    <w:rsid w:val="236B54FC"/>
    <w:rsid w:val="23CD1FB5"/>
    <w:rsid w:val="23F519CD"/>
    <w:rsid w:val="24136870"/>
    <w:rsid w:val="24152A49"/>
    <w:rsid w:val="24287BD3"/>
    <w:rsid w:val="24456D39"/>
    <w:rsid w:val="245C6969"/>
    <w:rsid w:val="248A6B80"/>
    <w:rsid w:val="248B666C"/>
    <w:rsid w:val="248F341C"/>
    <w:rsid w:val="24983B90"/>
    <w:rsid w:val="24AC7022"/>
    <w:rsid w:val="24E21EE4"/>
    <w:rsid w:val="24F417CC"/>
    <w:rsid w:val="250658E9"/>
    <w:rsid w:val="255D3125"/>
    <w:rsid w:val="25FD0128"/>
    <w:rsid w:val="260B5107"/>
    <w:rsid w:val="265E792E"/>
    <w:rsid w:val="26647764"/>
    <w:rsid w:val="269359AB"/>
    <w:rsid w:val="26E92F7B"/>
    <w:rsid w:val="26F85FDC"/>
    <w:rsid w:val="274C7001"/>
    <w:rsid w:val="27535BB4"/>
    <w:rsid w:val="2760332F"/>
    <w:rsid w:val="276C4D98"/>
    <w:rsid w:val="27DB51E2"/>
    <w:rsid w:val="281B37C7"/>
    <w:rsid w:val="282C1A16"/>
    <w:rsid w:val="286B013A"/>
    <w:rsid w:val="289205C0"/>
    <w:rsid w:val="28CC37B0"/>
    <w:rsid w:val="28E229B0"/>
    <w:rsid w:val="28FC2B64"/>
    <w:rsid w:val="298D57F4"/>
    <w:rsid w:val="299520CD"/>
    <w:rsid w:val="29992D97"/>
    <w:rsid w:val="29B05B01"/>
    <w:rsid w:val="29BA5E4B"/>
    <w:rsid w:val="29E83B4C"/>
    <w:rsid w:val="2A0E7C5A"/>
    <w:rsid w:val="2A30484F"/>
    <w:rsid w:val="2A5B30DB"/>
    <w:rsid w:val="2A5C5F05"/>
    <w:rsid w:val="2A716802"/>
    <w:rsid w:val="2A830702"/>
    <w:rsid w:val="2ABE5E63"/>
    <w:rsid w:val="2AF71B8D"/>
    <w:rsid w:val="2AFD3C60"/>
    <w:rsid w:val="2B395012"/>
    <w:rsid w:val="2B7E4D77"/>
    <w:rsid w:val="2BA2006A"/>
    <w:rsid w:val="2BBE0430"/>
    <w:rsid w:val="2BC30C31"/>
    <w:rsid w:val="2BCB6D3F"/>
    <w:rsid w:val="2BD6693F"/>
    <w:rsid w:val="2BF85B55"/>
    <w:rsid w:val="2C05252B"/>
    <w:rsid w:val="2C0B468C"/>
    <w:rsid w:val="2C0F4C44"/>
    <w:rsid w:val="2C65272B"/>
    <w:rsid w:val="2C8B6B16"/>
    <w:rsid w:val="2CB66777"/>
    <w:rsid w:val="2CD66501"/>
    <w:rsid w:val="2CDE0930"/>
    <w:rsid w:val="2D0E077F"/>
    <w:rsid w:val="2D4A1A33"/>
    <w:rsid w:val="2D5D5673"/>
    <w:rsid w:val="2D9503A5"/>
    <w:rsid w:val="2DDB2055"/>
    <w:rsid w:val="2DEB22B2"/>
    <w:rsid w:val="2E29023F"/>
    <w:rsid w:val="2E512696"/>
    <w:rsid w:val="2E5D662D"/>
    <w:rsid w:val="2E772F6E"/>
    <w:rsid w:val="2EA5381D"/>
    <w:rsid w:val="2F0163E4"/>
    <w:rsid w:val="2F034C6F"/>
    <w:rsid w:val="2F136099"/>
    <w:rsid w:val="2F3B15D1"/>
    <w:rsid w:val="2F744BFB"/>
    <w:rsid w:val="2F894AE1"/>
    <w:rsid w:val="2FCA6592"/>
    <w:rsid w:val="2FD67739"/>
    <w:rsid w:val="2FDC6AC2"/>
    <w:rsid w:val="307652AC"/>
    <w:rsid w:val="30830218"/>
    <w:rsid w:val="30876B7D"/>
    <w:rsid w:val="30C52AF8"/>
    <w:rsid w:val="30CD0A7E"/>
    <w:rsid w:val="30D57311"/>
    <w:rsid w:val="30FD50F3"/>
    <w:rsid w:val="31195BDD"/>
    <w:rsid w:val="3122362C"/>
    <w:rsid w:val="312276CE"/>
    <w:rsid w:val="31552BA5"/>
    <w:rsid w:val="31626EEC"/>
    <w:rsid w:val="317E0238"/>
    <w:rsid w:val="31B53DBA"/>
    <w:rsid w:val="31BA1499"/>
    <w:rsid w:val="31E53686"/>
    <w:rsid w:val="31FF007C"/>
    <w:rsid w:val="320D64CA"/>
    <w:rsid w:val="323250C7"/>
    <w:rsid w:val="32556B94"/>
    <w:rsid w:val="3273520E"/>
    <w:rsid w:val="32862880"/>
    <w:rsid w:val="329445BB"/>
    <w:rsid w:val="32B9130E"/>
    <w:rsid w:val="33564E06"/>
    <w:rsid w:val="339300E8"/>
    <w:rsid w:val="33CA0F1F"/>
    <w:rsid w:val="340B1FFA"/>
    <w:rsid w:val="342C1FFE"/>
    <w:rsid w:val="344A245E"/>
    <w:rsid w:val="348C016B"/>
    <w:rsid w:val="34A42278"/>
    <w:rsid w:val="34B86AE5"/>
    <w:rsid w:val="34D74C20"/>
    <w:rsid w:val="353051D1"/>
    <w:rsid w:val="35F10D4B"/>
    <w:rsid w:val="35FA3E19"/>
    <w:rsid w:val="361353F3"/>
    <w:rsid w:val="363A5F44"/>
    <w:rsid w:val="36714B5C"/>
    <w:rsid w:val="36937331"/>
    <w:rsid w:val="36B55F6B"/>
    <w:rsid w:val="370D6776"/>
    <w:rsid w:val="37316B00"/>
    <w:rsid w:val="37396ED7"/>
    <w:rsid w:val="37764DF8"/>
    <w:rsid w:val="37AF43BA"/>
    <w:rsid w:val="37C3238F"/>
    <w:rsid w:val="37E80F39"/>
    <w:rsid w:val="37F41BB3"/>
    <w:rsid w:val="38157B80"/>
    <w:rsid w:val="382F5281"/>
    <w:rsid w:val="38455D28"/>
    <w:rsid w:val="38540F22"/>
    <w:rsid w:val="38AE66E1"/>
    <w:rsid w:val="38C15A41"/>
    <w:rsid w:val="38C63024"/>
    <w:rsid w:val="38CD18D2"/>
    <w:rsid w:val="38EB71DA"/>
    <w:rsid w:val="39080D99"/>
    <w:rsid w:val="399519B8"/>
    <w:rsid w:val="39B1799E"/>
    <w:rsid w:val="3A1979FF"/>
    <w:rsid w:val="3A496F92"/>
    <w:rsid w:val="3A684BD0"/>
    <w:rsid w:val="3A7C210F"/>
    <w:rsid w:val="3A8A1CB0"/>
    <w:rsid w:val="3A8C029D"/>
    <w:rsid w:val="3AAF3A0E"/>
    <w:rsid w:val="3B5B1A05"/>
    <w:rsid w:val="3B711D66"/>
    <w:rsid w:val="3B7D4803"/>
    <w:rsid w:val="3B8A0623"/>
    <w:rsid w:val="3B8D40B2"/>
    <w:rsid w:val="3BBC0B3B"/>
    <w:rsid w:val="3BDB63DE"/>
    <w:rsid w:val="3C022718"/>
    <w:rsid w:val="3CEB1852"/>
    <w:rsid w:val="3D05463E"/>
    <w:rsid w:val="3D0F5AFE"/>
    <w:rsid w:val="3D196227"/>
    <w:rsid w:val="3D1B5EA8"/>
    <w:rsid w:val="3D3E6CE2"/>
    <w:rsid w:val="3DA74BD2"/>
    <w:rsid w:val="3DD63BA2"/>
    <w:rsid w:val="3DE222FE"/>
    <w:rsid w:val="3E5D33E1"/>
    <w:rsid w:val="3E743817"/>
    <w:rsid w:val="3E83186C"/>
    <w:rsid w:val="3E9130FC"/>
    <w:rsid w:val="3E9E5DB4"/>
    <w:rsid w:val="3EC035FB"/>
    <w:rsid w:val="3F5102FC"/>
    <w:rsid w:val="3F662721"/>
    <w:rsid w:val="3F83211A"/>
    <w:rsid w:val="3F9F114C"/>
    <w:rsid w:val="3FBE237E"/>
    <w:rsid w:val="3FCE7AFC"/>
    <w:rsid w:val="3FD008F7"/>
    <w:rsid w:val="3FDC2B95"/>
    <w:rsid w:val="3FF40ABD"/>
    <w:rsid w:val="4028609E"/>
    <w:rsid w:val="40372D68"/>
    <w:rsid w:val="40374B23"/>
    <w:rsid w:val="4062059F"/>
    <w:rsid w:val="409B7986"/>
    <w:rsid w:val="40D37DE8"/>
    <w:rsid w:val="40DB10C6"/>
    <w:rsid w:val="40F80713"/>
    <w:rsid w:val="410157A1"/>
    <w:rsid w:val="41025C66"/>
    <w:rsid w:val="41122B16"/>
    <w:rsid w:val="411761DC"/>
    <w:rsid w:val="416870FB"/>
    <w:rsid w:val="41912701"/>
    <w:rsid w:val="41CE7D37"/>
    <w:rsid w:val="41D27A78"/>
    <w:rsid w:val="41D85F1B"/>
    <w:rsid w:val="41DC598D"/>
    <w:rsid w:val="41FA15A4"/>
    <w:rsid w:val="42355F51"/>
    <w:rsid w:val="42465FDE"/>
    <w:rsid w:val="42884742"/>
    <w:rsid w:val="42AE5AE3"/>
    <w:rsid w:val="43205265"/>
    <w:rsid w:val="435A19B8"/>
    <w:rsid w:val="4371153F"/>
    <w:rsid w:val="437319E8"/>
    <w:rsid w:val="43A93B18"/>
    <w:rsid w:val="43B97087"/>
    <w:rsid w:val="43C85B6C"/>
    <w:rsid w:val="44047851"/>
    <w:rsid w:val="441D6C88"/>
    <w:rsid w:val="442335B6"/>
    <w:rsid w:val="444075FB"/>
    <w:rsid w:val="44717C3B"/>
    <w:rsid w:val="4498432F"/>
    <w:rsid w:val="44BE65E0"/>
    <w:rsid w:val="44DA2A97"/>
    <w:rsid w:val="45045AC7"/>
    <w:rsid w:val="455F7633"/>
    <w:rsid w:val="4565432C"/>
    <w:rsid w:val="4571546A"/>
    <w:rsid w:val="458E64E3"/>
    <w:rsid w:val="45B5655D"/>
    <w:rsid w:val="4617028E"/>
    <w:rsid w:val="46490C32"/>
    <w:rsid w:val="465D36F9"/>
    <w:rsid w:val="46601924"/>
    <w:rsid w:val="467266A6"/>
    <w:rsid w:val="4697305B"/>
    <w:rsid w:val="46A56AD1"/>
    <w:rsid w:val="46CC7D06"/>
    <w:rsid w:val="471D5D1F"/>
    <w:rsid w:val="472A4DB0"/>
    <w:rsid w:val="473356F4"/>
    <w:rsid w:val="47373039"/>
    <w:rsid w:val="4738342D"/>
    <w:rsid w:val="474E3444"/>
    <w:rsid w:val="47B274D3"/>
    <w:rsid w:val="481B0885"/>
    <w:rsid w:val="48506B8D"/>
    <w:rsid w:val="48601652"/>
    <w:rsid w:val="486A46AE"/>
    <w:rsid w:val="486C005E"/>
    <w:rsid w:val="488C03BF"/>
    <w:rsid w:val="48BC31D0"/>
    <w:rsid w:val="48C545BC"/>
    <w:rsid w:val="48F65F65"/>
    <w:rsid w:val="49306B00"/>
    <w:rsid w:val="49521BA8"/>
    <w:rsid w:val="499A3893"/>
    <w:rsid w:val="49A530B7"/>
    <w:rsid w:val="49AB1223"/>
    <w:rsid w:val="49B52C28"/>
    <w:rsid w:val="49C50F64"/>
    <w:rsid w:val="49C66E58"/>
    <w:rsid w:val="49C74D88"/>
    <w:rsid w:val="49D436C4"/>
    <w:rsid w:val="49F22054"/>
    <w:rsid w:val="49FF35F0"/>
    <w:rsid w:val="4A5A6C98"/>
    <w:rsid w:val="4A6C1E8B"/>
    <w:rsid w:val="4A7A2ACD"/>
    <w:rsid w:val="4A88530D"/>
    <w:rsid w:val="4A8E43FC"/>
    <w:rsid w:val="4A93053B"/>
    <w:rsid w:val="4AD01BE1"/>
    <w:rsid w:val="4B011FCA"/>
    <w:rsid w:val="4B0E599D"/>
    <w:rsid w:val="4B1F5BC5"/>
    <w:rsid w:val="4B582BD7"/>
    <w:rsid w:val="4B870790"/>
    <w:rsid w:val="4B9C0EE4"/>
    <w:rsid w:val="4BDB4ECF"/>
    <w:rsid w:val="4C0A629B"/>
    <w:rsid w:val="4C1F0DF3"/>
    <w:rsid w:val="4C580BD3"/>
    <w:rsid w:val="4C582B91"/>
    <w:rsid w:val="4C703C6A"/>
    <w:rsid w:val="4C7833EE"/>
    <w:rsid w:val="4C9C1748"/>
    <w:rsid w:val="4C9C7DD3"/>
    <w:rsid w:val="4D202F62"/>
    <w:rsid w:val="4DBB2E72"/>
    <w:rsid w:val="4DCB2E58"/>
    <w:rsid w:val="4E373D90"/>
    <w:rsid w:val="4E7749B9"/>
    <w:rsid w:val="4EA86BDB"/>
    <w:rsid w:val="4EE851A5"/>
    <w:rsid w:val="4F140B78"/>
    <w:rsid w:val="4F2518BB"/>
    <w:rsid w:val="4FA47FEB"/>
    <w:rsid w:val="4FE42F56"/>
    <w:rsid w:val="4FF74ABD"/>
    <w:rsid w:val="501705F4"/>
    <w:rsid w:val="50263228"/>
    <w:rsid w:val="50337DE3"/>
    <w:rsid w:val="503D6F7D"/>
    <w:rsid w:val="505F72C1"/>
    <w:rsid w:val="506967E7"/>
    <w:rsid w:val="50A1369E"/>
    <w:rsid w:val="50E13A61"/>
    <w:rsid w:val="50E768C2"/>
    <w:rsid w:val="510332A5"/>
    <w:rsid w:val="51184E28"/>
    <w:rsid w:val="5146382D"/>
    <w:rsid w:val="514D55B6"/>
    <w:rsid w:val="51704CBB"/>
    <w:rsid w:val="517459E7"/>
    <w:rsid w:val="518911B3"/>
    <w:rsid w:val="519604B6"/>
    <w:rsid w:val="51AF1EBF"/>
    <w:rsid w:val="51B75200"/>
    <w:rsid w:val="51BA1695"/>
    <w:rsid w:val="520118FC"/>
    <w:rsid w:val="521F1472"/>
    <w:rsid w:val="521F586A"/>
    <w:rsid w:val="523D1809"/>
    <w:rsid w:val="524940D1"/>
    <w:rsid w:val="52CE3B68"/>
    <w:rsid w:val="52EC4C08"/>
    <w:rsid w:val="54114993"/>
    <w:rsid w:val="542E2783"/>
    <w:rsid w:val="542F1216"/>
    <w:rsid w:val="546820CD"/>
    <w:rsid w:val="54913A31"/>
    <w:rsid w:val="54C52B79"/>
    <w:rsid w:val="54D8158B"/>
    <w:rsid w:val="54F24A86"/>
    <w:rsid w:val="55160719"/>
    <w:rsid w:val="552E5396"/>
    <w:rsid w:val="553118B0"/>
    <w:rsid w:val="559001B2"/>
    <w:rsid w:val="55A57758"/>
    <w:rsid w:val="55B2291D"/>
    <w:rsid w:val="55B57121"/>
    <w:rsid w:val="55E318A6"/>
    <w:rsid w:val="566121E5"/>
    <w:rsid w:val="56CC45F9"/>
    <w:rsid w:val="56F0380D"/>
    <w:rsid w:val="571C6F11"/>
    <w:rsid w:val="571D2CE1"/>
    <w:rsid w:val="576E2CF5"/>
    <w:rsid w:val="57B94EB3"/>
    <w:rsid w:val="57C06E42"/>
    <w:rsid w:val="57EB2BCA"/>
    <w:rsid w:val="5806221B"/>
    <w:rsid w:val="58290EC7"/>
    <w:rsid w:val="58AC24B2"/>
    <w:rsid w:val="58B87927"/>
    <w:rsid w:val="592A55C1"/>
    <w:rsid w:val="593144FC"/>
    <w:rsid w:val="59B859A0"/>
    <w:rsid w:val="5A2B3125"/>
    <w:rsid w:val="5A4B7271"/>
    <w:rsid w:val="5A521EF4"/>
    <w:rsid w:val="5A6D682C"/>
    <w:rsid w:val="5A7D0B1D"/>
    <w:rsid w:val="5ACD342C"/>
    <w:rsid w:val="5B0A0DD2"/>
    <w:rsid w:val="5B3B15CF"/>
    <w:rsid w:val="5B6E0F16"/>
    <w:rsid w:val="5B7A1B2D"/>
    <w:rsid w:val="5BEB64C0"/>
    <w:rsid w:val="5C104A5B"/>
    <w:rsid w:val="5C1551FE"/>
    <w:rsid w:val="5C3366A7"/>
    <w:rsid w:val="5C5408DC"/>
    <w:rsid w:val="5C633523"/>
    <w:rsid w:val="5CA64F1D"/>
    <w:rsid w:val="5CC01720"/>
    <w:rsid w:val="5CCA5A2B"/>
    <w:rsid w:val="5CED0088"/>
    <w:rsid w:val="5D1A42DE"/>
    <w:rsid w:val="5D4221F0"/>
    <w:rsid w:val="5D8F4247"/>
    <w:rsid w:val="5DC27194"/>
    <w:rsid w:val="5DD059F6"/>
    <w:rsid w:val="5E057968"/>
    <w:rsid w:val="5E09322F"/>
    <w:rsid w:val="5EA726FD"/>
    <w:rsid w:val="5EA82DB6"/>
    <w:rsid w:val="5EAE4130"/>
    <w:rsid w:val="5EF71F20"/>
    <w:rsid w:val="5F001790"/>
    <w:rsid w:val="5F33152F"/>
    <w:rsid w:val="5F726888"/>
    <w:rsid w:val="5F751977"/>
    <w:rsid w:val="5F844AC4"/>
    <w:rsid w:val="5FA50DD3"/>
    <w:rsid w:val="5FFA1C96"/>
    <w:rsid w:val="600913B2"/>
    <w:rsid w:val="60754BB7"/>
    <w:rsid w:val="60762229"/>
    <w:rsid w:val="60764CF9"/>
    <w:rsid w:val="60AC6FBA"/>
    <w:rsid w:val="610A32A7"/>
    <w:rsid w:val="61354A1E"/>
    <w:rsid w:val="61552F0D"/>
    <w:rsid w:val="620B22C0"/>
    <w:rsid w:val="623E7551"/>
    <w:rsid w:val="624A5543"/>
    <w:rsid w:val="627E6982"/>
    <w:rsid w:val="62907492"/>
    <w:rsid w:val="62FB32C7"/>
    <w:rsid w:val="630768CC"/>
    <w:rsid w:val="63091291"/>
    <w:rsid w:val="631F1C72"/>
    <w:rsid w:val="63255BB8"/>
    <w:rsid w:val="63462E7A"/>
    <w:rsid w:val="635E0683"/>
    <w:rsid w:val="63672749"/>
    <w:rsid w:val="63AC6F8D"/>
    <w:rsid w:val="63CA58DD"/>
    <w:rsid w:val="63CE356C"/>
    <w:rsid w:val="63D424EF"/>
    <w:rsid w:val="63D67F31"/>
    <w:rsid w:val="63E35D12"/>
    <w:rsid w:val="63FE4EB5"/>
    <w:rsid w:val="640B10BF"/>
    <w:rsid w:val="6418486A"/>
    <w:rsid w:val="64184C55"/>
    <w:rsid w:val="641D69BD"/>
    <w:rsid w:val="645C08F1"/>
    <w:rsid w:val="64754CB1"/>
    <w:rsid w:val="64831D2E"/>
    <w:rsid w:val="64844338"/>
    <w:rsid w:val="648A47B6"/>
    <w:rsid w:val="648F4E80"/>
    <w:rsid w:val="64EE053F"/>
    <w:rsid w:val="654477AC"/>
    <w:rsid w:val="6558590B"/>
    <w:rsid w:val="65676711"/>
    <w:rsid w:val="65951B1B"/>
    <w:rsid w:val="65C06265"/>
    <w:rsid w:val="666004AD"/>
    <w:rsid w:val="668A2862"/>
    <w:rsid w:val="66F74058"/>
    <w:rsid w:val="670B0904"/>
    <w:rsid w:val="671202EA"/>
    <w:rsid w:val="671F6FDB"/>
    <w:rsid w:val="672F0CB1"/>
    <w:rsid w:val="67556715"/>
    <w:rsid w:val="67902998"/>
    <w:rsid w:val="679720DB"/>
    <w:rsid w:val="67BB3C02"/>
    <w:rsid w:val="67C948C8"/>
    <w:rsid w:val="67F14957"/>
    <w:rsid w:val="680545F9"/>
    <w:rsid w:val="68127CA1"/>
    <w:rsid w:val="68462EA0"/>
    <w:rsid w:val="6854743C"/>
    <w:rsid w:val="68A13454"/>
    <w:rsid w:val="68EC7CB2"/>
    <w:rsid w:val="68FD4C1B"/>
    <w:rsid w:val="69300193"/>
    <w:rsid w:val="69406EC7"/>
    <w:rsid w:val="69741C50"/>
    <w:rsid w:val="69CD1302"/>
    <w:rsid w:val="69D24549"/>
    <w:rsid w:val="6A1C1474"/>
    <w:rsid w:val="6A633F0C"/>
    <w:rsid w:val="6A6754CD"/>
    <w:rsid w:val="6A945A9B"/>
    <w:rsid w:val="6AA563A9"/>
    <w:rsid w:val="6AEA2988"/>
    <w:rsid w:val="6B0D6695"/>
    <w:rsid w:val="6B155834"/>
    <w:rsid w:val="6B18088B"/>
    <w:rsid w:val="6B294019"/>
    <w:rsid w:val="6B537455"/>
    <w:rsid w:val="6BA07380"/>
    <w:rsid w:val="6BE10C67"/>
    <w:rsid w:val="6C490484"/>
    <w:rsid w:val="6C930AE4"/>
    <w:rsid w:val="6CA41265"/>
    <w:rsid w:val="6CA874F3"/>
    <w:rsid w:val="6CC10560"/>
    <w:rsid w:val="6CC91860"/>
    <w:rsid w:val="6CD5347D"/>
    <w:rsid w:val="6CF55FCB"/>
    <w:rsid w:val="6CFC2451"/>
    <w:rsid w:val="6D035459"/>
    <w:rsid w:val="6D1A42F7"/>
    <w:rsid w:val="6D1C038D"/>
    <w:rsid w:val="6D777B45"/>
    <w:rsid w:val="6D8215FE"/>
    <w:rsid w:val="6D93291F"/>
    <w:rsid w:val="6D9838BD"/>
    <w:rsid w:val="6DD0636B"/>
    <w:rsid w:val="6DD72F0E"/>
    <w:rsid w:val="6DE74E84"/>
    <w:rsid w:val="6E033242"/>
    <w:rsid w:val="6E102A0C"/>
    <w:rsid w:val="6E176BDB"/>
    <w:rsid w:val="6E450AE0"/>
    <w:rsid w:val="6E636E1D"/>
    <w:rsid w:val="6E87135C"/>
    <w:rsid w:val="6EB159C7"/>
    <w:rsid w:val="6EC05B55"/>
    <w:rsid w:val="6EC73260"/>
    <w:rsid w:val="6EE460F8"/>
    <w:rsid w:val="6F0C033D"/>
    <w:rsid w:val="6F24276B"/>
    <w:rsid w:val="6F25742D"/>
    <w:rsid w:val="6F3B0EF7"/>
    <w:rsid w:val="6F5748DD"/>
    <w:rsid w:val="6F6A455F"/>
    <w:rsid w:val="6F760B24"/>
    <w:rsid w:val="6FD85B76"/>
    <w:rsid w:val="700B3712"/>
    <w:rsid w:val="702D7F6B"/>
    <w:rsid w:val="703B084C"/>
    <w:rsid w:val="704310D1"/>
    <w:rsid w:val="706D3C70"/>
    <w:rsid w:val="70A94CC8"/>
    <w:rsid w:val="70B70481"/>
    <w:rsid w:val="70CD6221"/>
    <w:rsid w:val="710E3010"/>
    <w:rsid w:val="71D92F74"/>
    <w:rsid w:val="721232F7"/>
    <w:rsid w:val="7214068D"/>
    <w:rsid w:val="72876DEB"/>
    <w:rsid w:val="72C044A1"/>
    <w:rsid w:val="72C6465A"/>
    <w:rsid w:val="72C82DDB"/>
    <w:rsid w:val="72CE307C"/>
    <w:rsid w:val="72CF5F88"/>
    <w:rsid w:val="72D8279D"/>
    <w:rsid w:val="731B682F"/>
    <w:rsid w:val="73213242"/>
    <w:rsid w:val="733F310D"/>
    <w:rsid w:val="736C0658"/>
    <w:rsid w:val="739C685F"/>
    <w:rsid w:val="73C6697E"/>
    <w:rsid w:val="742B41E8"/>
    <w:rsid w:val="74BE03A6"/>
    <w:rsid w:val="74BE288E"/>
    <w:rsid w:val="75315330"/>
    <w:rsid w:val="7547484E"/>
    <w:rsid w:val="75537FCB"/>
    <w:rsid w:val="75AD1FE0"/>
    <w:rsid w:val="75D448D6"/>
    <w:rsid w:val="75DC75CE"/>
    <w:rsid w:val="760358FD"/>
    <w:rsid w:val="76067A3F"/>
    <w:rsid w:val="760826FB"/>
    <w:rsid w:val="762B1C02"/>
    <w:rsid w:val="76783F09"/>
    <w:rsid w:val="767A627F"/>
    <w:rsid w:val="76970BE9"/>
    <w:rsid w:val="76AB31AF"/>
    <w:rsid w:val="76C02781"/>
    <w:rsid w:val="76CF41D8"/>
    <w:rsid w:val="76F13CA5"/>
    <w:rsid w:val="76FB702E"/>
    <w:rsid w:val="772F0A16"/>
    <w:rsid w:val="777C2CA0"/>
    <w:rsid w:val="778B254E"/>
    <w:rsid w:val="77900E7D"/>
    <w:rsid w:val="77EE3255"/>
    <w:rsid w:val="782D0FE6"/>
    <w:rsid w:val="78623394"/>
    <w:rsid w:val="7872717E"/>
    <w:rsid w:val="78B00EED"/>
    <w:rsid w:val="78EB42AB"/>
    <w:rsid w:val="79135EA3"/>
    <w:rsid w:val="791F21A9"/>
    <w:rsid w:val="794C7835"/>
    <w:rsid w:val="796B347E"/>
    <w:rsid w:val="79902E08"/>
    <w:rsid w:val="79B77AFD"/>
    <w:rsid w:val="79D73853"/>
    <w:rsid w:val="7A0D48AB"/>
    <w:rsid w:val="7A5B3CF3"/>
    <w:rsid w:val="7A9A1EA4"/>
    <w:rsid w:val="7AA0261E"/>
    <w:rsid w:val="7AB819AD"/>
    <w:rsid w:val="7ABA4E4E"/>
    <w:rsid w:val="7AF84F8C"/>
    <w:rsid w:val="7AFD5EEC"/>
    <w:rsid w:val="7B127A63"/>
    <w:rsid w:val="7B1A2C8D"/>
    <w:rsid w:val="7B2F3497"/>
    <w:rsid w:val="7B6B270A"/>
    <w:rsid w:val="7B6D3913"/>
    <w:rsid w:val="7BB32526"/>
    <w:rsid w:val="7BB53C3F"/>
    <w:rsid w:val="7BBC5AB7"/>
    <w:rsid w:val="7BBE3A01"/>
    <w:rsid w:val="7BCD6BDC"/>
    <w:rsid w:val="7C0C11A8"/>
    <w:rsid w:val="7C14735D"/>
    <w:rsid w:val="7C3E12A0"/>
    <w:rsid w:val="7C510C49"/>
    <w:rsid w:val="7C5A5435"/>
    <w:rsid w:val="7C993A37"/>
    <w:rsid w:val="7CAB1C8C"/>
    <w:rsid w:val="7CD767AA"/>
    <w:rsid w:val="7D255415"/>
    <w:rsid w:val="7D325471"/>
    <w:rsid w:val="7D374FCD"/>
    <w:rsid w:val="7D424EAA"/>
    <w:rsid w:val="7D464CFB"/>
    <w:rsid w:val="7D7A588D"/>
    <w:rsid w:val="7D841B3F"/>
    <w:rsid w:val="7DC02A7D"/>
    <w:rsid w:val="7DD341AE"/>
    <w:rsid w:val="7E0C219E"/>
    <w:rsid w:val="7E18219E"/>
    <w:rsid w:val="7E206EC8"/>
    <w:rsid w:val="7E286A6E"/>
    <w:rsid w:val="7E490FDF"/>
    <w:rsid w:val="7E681C8F"/>
    <w:rsid w:val="7E750D36"/>
    <w:rsid w:val="7EA94C29"/>
    <w:rsid w:val="7ED515EB"/>
    <w:rsid w:val="7F360D4C"/>
    <w:rsid w:val="7F5C1428"/>
    <w:rsid w:val="7F610DF9"/>
    <w:rsid w:val="7F7C6DCD"/>
    <w:rsid w:val="7FD13BEB"/>
    <w:rsid w:val="7FEF62ED"/>
    <w:rsid w:val="7FF7422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qFormat="1" w:unhideWhenUsed="0" w:uiPriority="0" w:semiHidden="0"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3">
    <w:name w:val="heading 1"/>
    <w:basedOn w:val="1"/>
    <w:next w:val="1"/>
    <w:link w:val="5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64"/>
    <w:qFormat/>
    <w:uiPriority w:val="9"/>
    <w:pPr>
      <w:keepNext/>
      <w:keepLines/>
      <w:spacing w:before="260" w:after="260" w:line="416" w:lineRule="auto"/>
      <w:outlineLvl w:val="1"/>
    </w:pPr>
    <w:rPr>
      <w:rFonts w:ascii="Cambria" w:hAnsi="Cambria"/>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Indent"/>
    <w:basedOn w:val="1"/>
    <w:next w:val="1"/>
    <w:link w:val="53"/>
    <w:qFormat/>
    <w:uiPriority w:val="0"/>
    <w:pPr>
      <w:spacing w:line="200" w:lineRule="atLeast"/>
      <w:ind w:firstLine="301"/>
    </w:pPr>
    <w:rPr>
      <w:rFonts w:ascii="宋体" w:hAnsi="Courier New"/>
      <w:spacing w:val="-4"/>
      <w:sz w:val="18"/>
      <w:szCs w:val="20"/>
    </w:rPr>
  </w:style>
  <w:style w:type="paragraph" w:styleId="5">
    <w:name w:val="List Number"/>
    <w:basedOn w:val="1"/>
    <w:qFormat/>
    <w:uiPriority w:val="0"/>
    <w:pPr>
      <w:widowControl/>
      <w:numPr>
        <w:ilvl w:val="0"/>
        <w:numId w:val="1"/>
      </w:numPr>
      <w:tabs>
        <w:tab w:val="left" w:pos="454"/>
        <w:tab w:val="clear" w:pos="720"/>
      </w:tabs>
      <w:spacing w:afterLines="50"/>
      <w:ind w:left="454" w:hanging="284"/>
      <w:jc w:val="left"/>
    </w:pPr>
    <w:rPr>
      <w:kern w:val="0"/>
      <w:sz w:val="24"/>
      <w:szCs w:val="20"/>
    </w:rPr>
  </w:style>
  <w:style w:type="paragraph" w:styleId="6">
    <w:name w:val="Normal Indent"/>
    <w:basedOn w:val="1"/>
    <w:link w:val="44"/>
    <w:qFormat/>
    <w:uiPriority w:val="0"/>
    <w:pPr>
      <w:ind w:firstLine="420"/>
    </w:pPr>
    <w:rPr>
      <w:sz w:val="21"/>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Document Map"/>
    <w:basedOn w:val="1"/>
    <w:link w:val="78"/>
    <w:semiHidden/>
    <w:unhideWhenUsed/>
    <w:qFormat/>
    <w:uiPriority w:val="99"/>
    <w:rPr>
      <w:rFonts w:ascii="宋体"/>
      <w:sz w:val="18"/>
      <w:szCs w:val="18"/>
    </w:rPr>
  </w:style>
  <w:style w:type="paragraph" w:styleId="9">
    <w:name w:val="annotation text"/>
    <w:basedOn w:val="1"/>
    <w:link w:val="52"/>
    <w:unhideWhenUsed/>
    <w:qFormat/>
    <w:uiPriority w:val="99"/>
    <w:pPr>
      <w:jc w:val="left"/>
    </w:pPr>
  </w:style>
  <w:style w:type="paragraph" w:styleId="10">
    <w:name w:val="Body Text"/>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11">
    <w:name w:val="List 2"/>
    <w:basedOn w:val="1"/>
    <w:unhideWhenUsed/>
    <w:qFormat/>
    <w:uiPriority w:val="99"/>
    <w:pPr>
      <w:ind w:left="100" w:leftChars="200" w:hanging="200" w:hangingChars="200"/>
      <w:contextualSpacing/>
    </w:pPr>
  </w:style>
  <w:style w:type="paragraph" w:styleId="12">
    <w:name w:val="Plain Text"/>
    <w:basedOn w:val="1"/>
    <w:link w:val="42"/>
    <w:qFormat/>
    <w:uiPriority w:val="0"/>
    <w:pPr>
      <w:spacing w:beforeLines="50" w:afterLines="50" w:line="400" w:lineRule="atLeast"/>
    </w:pPr>
    <w:rPr>
      <w:rFonts w:ascii="宋体" w:hAnsi="Courier New"/>
      <w:sz w:val="24"/>
    </w:rPr>
  </w:style>
  <w:style w:type="paragraph" w:styleId="13">
    <w:name w:val="Date"/>
    <w:basedOn w:val="1"/>
    <w:next w:val="1"/>
    <w:qFormat/>
    <w:uiPriority w:val="0"/>
    <w:pPr>
      <w:ind w:left="2500" w:leftChars="2500"/>
    </w:pPr>
    <w:rPr>
      <w:rFonts w:eastAsia="楷体_GB2312"/>
      <w:sz w:val="32"/>
      <w:szCs w:val="20"/>
    </w:rPr>
  </w:style>
  <w:style w:type="paragraph" w:styleId="14">
    <w:name w:val="Balloon Text"/>
    <w:basedOn w:val="1"/>
    <w:qFormat/>
    <w:uiPriority w:val="0"/>
    <w:rPr>
      <w:sz w:val="18"/>
      <w:szCs w:val="18"/>
    </w:rPr>
  </w:style>
  <w:style w:type="paragraph" w:styleId="15">
    <w:name w:val="footer"/>
    <w:basedOn w:val="1"/>
    <w:link w:val="34"/>
    <w:qFormat/>
    <w:uiPriority w:val="99"/>
    <w:pPr>
      <w:tabs>
        <w:tab w:val="center" w:pos="4153"/>
        <w:tab w:val="right" w:pos="8306"/>
      </w:tabs>
      <w:snapToGrid w:val="0"/>
      <w:jc w:val="left"/>
    </w:pPr>
    <w:rPr>
      <w:sz w:val="18"/>
      <w:szCs w:val="18"/>
    </w:rPr>
  </w:style>
  <w:style w:type="paragraph" w:styleId="16">
    <w:name w:val="header"/>
    <w:basedOn w:val="1"/>
    <w:qFormat/>
    <w:uiPriority w:val="0"/>
    <w:pPr>
      <w:tabs>
        <w:tab w:val="center" w:pos="4153"/>
        <w:tab w:val="right" w:pos="8306"/>
      </w:tabs>
      <w:snapToGrid w:val="0"/>
      <w:jc w:val="center"/>
    </w:pPr>
    <w:rPr>
      <w:sz w:val="18"/>
      <w:szCs w:val="18"/>
    </w:rPr>
  </w:style>
  <w:style w:type="paragraph" w:styleId="17">
    <w:name w:val="List"/>
    <w:basedOn w:val="1"/>
    <w:qFormat/>
    <w:uiPriority w:val="0"/>
    <w:pPr>
      <w:ind w:left="200" w:hanging="200" w:hangingChars="200"/>
    </w:pPr>
  </w:style>
  <w:style w:type="paragraph" w:styleId="18">
    <w:name w:val="Body Text 2"/>
    <w:basedOn w:val="1"/>
    <w:qFormat/>
    <w:uiPriority w:val="0"/>
    <w:pPr>
      <w:widowControl/>
      <w:snapToGrid w:val="0"/>
      <w:spacing w:before="50" w:afterLines="50" w:line="400" w:lineRule="atLeast"/>
      <w:jc w:val="left"/>
    </w:pPr>
    <w:rPr>
      <w:rFonts w:hint="eastAsia" w:ascii="宋体" w:hAnsi="宋体"/>
      <w:color w:val="000000"/>
      <w:sz w:val="24"/>
    </w:rPr>
  </w:style>
  <w:style w:type="paragraph" w:styleId="19">
    <w:name w:val="Normal (Web)"/>
    <w:basedOn w:val="1"/>
    <w:qFormat/>
    <w:uiPriority w:val="99"/>
    <w:pPr>
      <w:widowControl/>
      <w:spacing w:before="100" w:beforeAutospacing="1" w:after="100" w:afterAutospacing="1"/>
      <w:ind w:firstLine="420"/>
      <w:jc w:val="left"/>
    </w:pPr>
    <w:rPr>
      <w:rFonts w:ascii="宋体" w:hAnsi="宋体"/>
      <w:kern w:val="0"/>
      <w:sz w:val="20"/>
      <w:szCs w:val="20"/>
    </w:rPr>
  </w:style>
  <w:style w:type="paragraph" w:styleId="20">
    <w:name w:val="Title"/>
    <w:basedOn w:val="1"/>
    <w:link w:val="43"/>
    <w:qFormat/>
    <w:uiPriority w:val="0"/>
    <w:pPr>
      <w:widowControl/>
      <w:overflowPunct w:val="0"/>
      <w:autoSpaceDE w:val="0"/>
      <w:autoSpaceDN w:val="0"/>
      <w:adjustRightInd w:val="0"/>
      <w:jc w:val="center"/>
      <w:textAlignment w:val="baseline"/>
    </w:pPr>
    <w:rPr>
      <w:b/>
      <w:kern w:val="0"/>
      <w:sz w:val="24"/>
      <w:szCs w:val="20"/>
      <w:lang w:val="en-GB"/>
    </w:rPr>
  </w:style>
  <w:style w:type="paragraph" w:styleId="21">
    <w:name w:val="annotation subject"/>
    <w:basedOn w:val="9"/>
    <w:next w:val="9"/>
    <w:link w:val="60"/>
    <w:unhideWhenUsed/>
    <w:qFormat/>
    <w:uiPriority w:val="99"/>
    <w:rPr>
      <w:b/>
      <w:bCs/>
    </w:rPr>
  </w:style>
  <w:style w:type="paragraph" w:styleId="22">
    <w:name w:val="Body Text First Indent"/>
    <w:unhideWhenUsed/>
    <w:qFormat/>
    <w:uiPriority w:val="0"/>
    <w:pPr>
      <w:widowControl w:val="0"/>
      <w:spacing w:after="120"/>
      <w:ind w:firstLine="420" w:firstLineChars="100"/>
      <w:jc w:val="both"/>
    </w:pPr>
    <w:rPr>
      <w:rFonts w:ascii="Times New Roman" w:hAnsi="Times New Roman" w:eastAsia="宋体" w:cs="Times New Roman"/>
      <w:kern w:val="2"/>
      <w:sz w:val="21"/>
      <w:szCs w:val="24"/>
      <w:lang w:val="en-US" w:eastAsia="zh-CN" w:bidi="ar-SA"/>
    </w:rPr>
  </w:style>
  <w:style w:type="paragraph" w:styleId="23">
    <w:name w:val="Body Text First Indent 2"/>
    <w:basedOn w:val="2"/>
    <w:unhideWhenUsed/>
    <w:qFormat/>
    <w:uiPriority w:val="99"/>
    <w:pPr>
      <w:ind w:firstLine="420"/>
    </w:pPr>
  </w:style>
  <w:style w:type="table" w:styleId="25">
    <w:name w:val="Table Grid"/>
    <w:basedOn w:val="2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99"/>
    <w:rPr>
      <w:color w:val="5579A7"/>
      <w:u w:val="none"/>
    </w:rPr>
  </w:style>
  <w:style w:type="character" w:styleId="30">
    <w:name w:val="Hyperlink"/>
    <w:basedOn w:val="26"/>
    <w:qFormat/>
    <w:uiPriority w:val="0"/>
    <w:rPr>
      <w:color w:val="5579A7"/>
      <w:u w:val="none"/>
    </w:rPr>
  </w:style>
  <w:style w:type="character" w:styleId="31">
    <w:name w:val="annotation reference"/>
    <w:unhideWhenUsed/>
    <w:qFormat/>
    <w:uiPriority w:val="99"/>
    <w:rPr>
      <w:sz w:val="21"/>
      <w:szCs w:val="21"/>
    </w:rPr>
  </w:style>
  <w:style w:type="paragraph" w:customStyle="1" w:styleId="32">
    <w:name w:val="Default"/>
    <w:next w:val="33"/>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33">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34">
    <w:name w:val="页脚 Char"/>
    <w:link w:val="15"/>
    <w:qFormat/>
    <w:uiPriority w:val="99"/>
    <w:rPr>
      <w:kern w:val="2"/>
      <w:sz w:val="18"/>
      <w:szCs w:val="18"/>
    </w:rPr>
  </w:style>
  <w:style w:type="character" w:customStyle="1" w:styleId="35">
    <w:name w:val="sub_title s0"/>
    <w:basedOn w:val="26"/>
    <w:qFormat/>
    <w:uiPriority w:val="0"/>
  </w:style>
  <w:style w:type="character" w:customStyle="1" w:styleId="36">
    <w:name w:val="正文文本缩进 字符"/>
    <w:qFormat/>
    <w:uiPriority w:val="0"/>
    <w:rPr>
      <w:rFonts w:ascii="宋体" w:hAnsi="Courier New"/>
      <w:spacing w:val="-4"/>
      <w:kern w:val="2"/>
      <w:sz w:val="18"/>
    </w:rPr>
  </w:style>
  <w:style w:type="character" w:customStyle="1" w:styleId="37">
    <w:name w:val="jbox-icon-info"/>
    <w:basedOn w:val="26"/>
    <w:qFormat/>
    <w:uiPriority w:val="0"/>
  </w:style>
  <w:style w:type="character" w:customStyle="1" w:styleId="38">
    <w:name w:val="Plain Text Char Char"/>
    <w:link w:val="39"/>
    <w:qFormat/>
    <w:uiPriority w:val="0"/>
    <w:rPr>
      <w:rFonts w:ascii="宋体" w:hAnsi="Courier New" w:cs="宋体"/>
    </w:rPr>
  </w:style>
  <w:style w:type="paragraph" w:customStyle="1" w:styleId="39">
    <w:name w:val="纯文本1"/>
    <w:basedOn w:val="1"/>
    <w:link w:val="38"/>
    <w:qFormat/>
    <w:uiPriority w:val="0"/>
    <w:rPr>
      <w:rFonts w:ascii="宋体" w:hAnsi="Courier New" w:cs="宋体"/>
      <w:kern w:val="0"/>
      <w:sz w:val="20"/>
      <w:szCs w:val="20"/>
    </w:rPr>
  </w:style>
  <w:style w:type="character" w:customStyle="1" w:styleId="40">
    <w:name w:val="black601"/>
    <w:qFormat/>
    <w:uiPriority w:val="0"/>
    <w:rPr>
      <w:color w:val="666666"/>
    </w:rPr>
  </w:style>
  <w:style w:type="character" w:customStyle="1" w:styleId="41">
    <w:name w:val="纯文本 Char"/>
    <w:qFormat/>
    <w:uiPriority w:val="99"/>
    <w:rPr>
      <w:rFonts w:ascii="宋体" w:hAnsi="Courier New"/>
      <w:kern w:val="2"/>
      <w:sz w:val="24"/>
      <w:szCs w:val="24"/>
    </w:rPr>
  </w:style>
  <w:style w:type="character" w:customStyle="1" w:styleId="42">
    <w:name w:val="纯文本 Char2"/>
    <w:link w:val="12"/>
    <w:qFormat/>
    <w:uiPriority w:val="0"/>
    <w:rPr>
      <w:rFonts w:ascii="宋体" w:hAnsi="Courier New"/>
      <w:kern w:val="2"/>
      <w:sz w:val="24"/>
      <w:szCs w:val="24"/>
    </w:rPr>
  </w:style>
  <w:style w:type="character" w:customStyle="1" w:styleId="43">
    <w:name w:val="标题 Char"/>
    <w:link w:val="20"/>
    <w:qFormat/>
    <w:uiPriority w:val="0"/>
    <w:rPr>
      <w:b/>
      <w:sz w:val="24"/>
      <w:lang w:val="en-GB"/>
    </w:rPr>
  </w:style>
  <w:style w:type="character" w:customStyle="1" w:styleId="44">
    <w:name w:val="正文缩进 Char"/>
    <w:link w:val="6"/>
    <w:qFormat/>
    <w:uiPriority w:val="0"/>
    <w:rPr>
      <w:rFonts w:eastAsia="宋体"/>
      <w:kern w:val="2"/>
      <w:sz w:val="21"/>
      <w:lang w:val="en-US" w:eastAsia="zh-CN" w:bidi="ar-SA"/>
    </w:rPr>
  </w:style>
  <w:style w:type="character" w:customStyle="1" w:styleId="45">
    <w:name w:val="jbox-icon-error"/>
    <w:basedOn w:val="26"/>
    <w:qFormat/>
    <w:uiPriority w:val="0"/>
  </w:style>
  <w:style w:type="character" w:customStyle="1" w:styleId="46">
    <w:name w:val="jbox-icon-loading"/>
    <w:basedOn w:val="26"/>
    <w:qFormat/>
    <w:uiPriority w:val="0"/>
  </w:style>
  <w:style w:type="character" w:customStyle="1" w:styleId="47">
    <w:name w:val="z-窗体顶端 Char"/>
    <w:link w:val="48"/>
    <w:semiHidden/>
    <w:qFormat/>
    <w:uiPriority w:val="99"/>
    <w:rPr>
      <w:rFonts w:ascii="Arial" w:hAnsi="Arial"/>
      <w:vanish/>
      <w:sz w:val="16"/>
      <w:szCs w:val="16"/>
    </w:rPr>
  </w:style>
  <w:style w:type="paragraph" w:customStyle="1" w:styleId="48">
    <w:name w:val="z-窗体顶端1"/>
    <w:basedOn w:val="1"/>
    <w:next w:val="1"/>
    <w:link w:val="47"/>
    <w:unhideWhenUsed/>
    <w:qFormat/>
    <w:uiPriority w:val="99"/>
    <w:pPr>
      <w:widowControl/>
      <w:pBdr>
        <w:bottom w:val="single" w:color="auto" w:sz="6" w:space="1"/>
      </w:pBdr>
      <w:jc w:val="center"/>
    </w:pPr>
    <w:rPr>
      <w:rFonts w:ascii="Arial" w:hAnsi="Arial"/>
      <w:vanish/>
      <w:kern w:val="0"/>
      <w:sz w:val="16"/>
      <w:szCs w:val="16"/>
    </w:rPr>
  </w:style>
  <w:style w:type="character" w:customStyle="1" w:styleId="49">
    <w:name w:val="jbox-icon-question"/>
    <w:basedOn w:val="26"/>
    <w:qFormat/>
    <w:uiPriority w:val="0"/>
  </w:style>
  <w:style w:type="character" w:customStyle="1" w:styleId="50">
    <w:name w:val="标题 字符1"/>
    <w:qFormat/>
    <w:uiPriority w:val="10"/>
    <w:rPr>
      <w:rFonts w:ascii="等线 Light" w:hAnsi="等线 Light" w:cs="Times New Roman"/>
      <w:b/>
      <w:bCs/>
      <w:kern w:val="2"/>
      <w:sz w:val="32"/>
      <w:szCs w:val="32"/>
    </w:rPr>
  </w:style>
  <w:style w:type="character" w:customStyle="1" w:styleId="51">
    <w:name w:val="jbox-icon-success"/>
    <w:basedOn w:val="26"/>
    <w:qFormat/>
    <w:uiPriority w:val="0"/>
  </w:style>
  <w:style w:type="character" w:customStyle="1" w:styleId="52">
    <w:name w:val="批注文字 Char"/>
    <w:link w:val="9"/>
    <w:qFormat/>
    <w:uiPriority w:val="99"/>
    <w:rPr>
      <w:kern w:val="2"/>
      <w:sz w:val="28"/>
      <w:szCs w:val="24"/>
    </w:rPr>
  </w:style>
  <w:style w:type="character" w:customStyle="1" w:styleId="53">
    <w:name w:val="正文文本缩进 Char"/>
    <w:link w:val="2"/>
    <w:qFormat/>
    <w:uiPriority w:val="0"/>
    <w:rPr>
      <w:rFonts w:ascii="宋体" w:hAnsi="Courier New"/>
      <w:spacing w:val="-4"/>
      <w:kern w:val="2"/>
      <w:sz w:val="18"/>
    </w:rPr>
  </w:style>
  <w:style w:type="character" w:customStyle="1" w:styleId="54">
    <w:name w:val="maywed421"/>
    <w:qFormat/>
    <w:uiPriority w:val="0"/>
    <w:rPr>
      <w:color w:val="366FB6"/>
      <w:u w:val="none"/>
    </w:rPr>
  </w:style>
  <w:style w:type="character" w:customStyle="1" w:styleId="55">
    <w:name w:val="jbox-icon-warning"/>
    <w:basedOn w:val="26"/>
    <w:qFormat/>
    <w:uiPriority w:val="0"/>
  </w:style>
  <w:style w:type="character" w:customStyle="1" w:styleId="56">
    <w:name w:val="jbox-icon-none"/>
    <w:basedOn w:val="26"/>
    <w:qFormat/>
    <w:uiPriority w:val="0"/>
    <w:rPr>
      <w:vanish/>
    </w:rPr>
  </w:style>
  <w:style w:type="character" w:customStyle="1" w:styleId="57">
    <w:name w:val="标题 1 Char"/>
    <w:link w:val="3"/>
    <w:qFormat/>
    <w:uiPriority w:val="9"/>
    <w:rPr>
      <w:b/>
      <w:bCs/>
      <w:kern w:val="44"/>
      <w:sz w:val="44"/>
      <w:szCs w:val="44"/>
    </w:rPr>
  </w:style>
  <w:style w:type="character" w:customStyle="1" w:styleId="58">
    <w:name w:val="z-窗体底端 Char"/>
    <w:link w:val="59"/>
    <w:semiHidden/>
    <w:qFormat/>
    <w:uiPriority w:val="99"/>
    <w:rPr>
      <w:rFonts w:ascii="Arial" w:hAnsi="Arial"/>
      <w:vanish/>
      <w:sz w:val="16"/>
      <w:szCs w:val="16"/>
    </w:rPr>
  </w:style>
  <w:style w:type="paragraph" w:customStyle="1" w:styleId="59">
    <w:name w:val="z-窗体底端1"/>
    <w:basedOn w:val="1"/>
    <w:next w:val="1"/>
    <w:link w:val="58"/>
    <w:unhideWhenUsed/>
    <w:qFormat/>
    <w:uiPriority w:val="99"/>
    <w:pPr>
      <w:widowControl/>
      <w:pBdr>
        <w:top w:val="single" w:color="auto" w:sz="6" w:space="1"/>
      </w:pBdr>
      <w:jc w:val="center"/>
    </w:pPr>
    <w:rPr>
      <w:rFonts w:ascii="Arial" w:hAnsi="Arial"/>
      <w:vanish/>
      <w:kern w:val="0"/>
      <w:sz w:val="16"/>
      <w:szCs w:val="16"/>
    </w:rPr>
  </w:style>
  <w:style w:type="character" w:customStyle="1" w:styleId="60">
    <w:name w:val="批注主题 Char"/>
    <w:link w:val="21"/>
    <w:semiHidden/>
    <w:qFormat/>
    <w:uiPriority w:val="99"/>
    <w:rPr>
      <w:b/>
      <w:bCs/>
      <w:kern w:val="2"/>
      <w:sz w:val="28"/>
      <w:szCs w:val="24"/>
    </w:rPr>
  </w:style>
  <w:style w:type="character" w:customStyle="1" w:styleId="61">
    <w:name w:val="纯文本 Char1"/>
    <w:qFormat/>
    <w:uiPriority w:val="0"/>
    <w:rPr>
      <w:rFonts w:ascii="宋体" w:hAnsi="Courier New"/>
      <w:kern w:val="2"/>
      <w:sz w:val="21"/>
    </w:rPr>
  </w:style>
  <w:style w:type="character" w:customStyle="1" w:styleId="62">
    <w:name w:val="jbox-icon"/>
    <w:basedOn w:val="26"/>
    <w:qFormat/>
    <w:uiPriority w:val="0"/>
  </w:style>
  <w:style w:type="character" w:customStyle="1" w:styleId="63">
    <w:name w:val="标题 1 Char Char"/>
    <w:qFormat/>
    <w:uiPriority w:val="0"/>
    <w:rPr>
      <w:rFonts w:eastAsia="宋体"/>
      <w:b/>
      <w:spacing w:val="-2"/>
      <w:sz w:val="24"/>
      <w:lang w:val="en-US" w:eastAsia="zh-CN" w:bidi="ar-SA"/>
    </w:rPr>
  </w:style>
  <w:style w:type="character" w:customStyle="1" w:styleId="64">
    <w:name w:val="标题 2 Char"/>
    <w:link w:val="4"/>
    <w:semiHidden/>
    <w:qFormat/>
    <w:uiPriority w:val="9"/>
    <w:rPr>
      <w:rFonts w:ascii="Cambria" w:hAnsi="Cambria" w:eastAsia="宋体" w:cs="Times New Roman"/>
      <w:b/>
      <w:bCs/>
      <w:kern w:val="2"/>
      <w:sz w:val="32"/>
      <w:szCs w:val="32"/>
    </w:rPr>
  </w:style>
  <w:style w:type="paragraph" w:customStyle="1" w:styleId="65">
    <w:name w:val="Proposals body"/>
    <w:basedOn w:val="1"/>
    <w:next w:val="1"/>
    <w:qFormat/>
    <w:uiPriority w:val="0"/>
    <w:pPr>
      <w:widowControl/>
      <w:spacing w:line="460" w:lineRule="exact"/>
      <w:jc w:val="left"/>
    </w:pPr>
    <w:rPr>
      <w:rFonts w:ascii="仿宋_GB2312" w:eastAsia="仿宋_GB2312"/>
      <w:snapToGrid w:val="0"/>
      <w:kern w:val="0"/>
      <w:sz w:val="24"/>
    </w:rPr>
  </w:style>
  <w:style w:type="paragraph" w:customStyle="1" w:styleId="66">
    <w:name w:val="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67">
    <w:name w:val="正文段"/>
    <w:basedOn w:val="1"/>
    <w:qFormat/>
    <w:uiPriority w:val="0"/>
    <w:pPr>
      <w:widowControl/>
      <w:snapToGrid w:val="0"/>
      <w:spacing w:afterLines="50"/>
      <w:ind w:firstLine="200" w:firstLineChars="200"/>
    </w:pPr>
    <w:rPr>
      <w:kern w:val="0"/>
      <w:sz w:val="24"/>
      <w:szCs w:val="20"/>
    </w:rPr>
  </w:style>
  <w:style w:type="paragraph" w:customStyle="1" w:styleId="68">
    <w:name w:val="p0"/>
    <w:basedOn w:val="1"/>
    <w:qFormat/>
    <w:uiPriority w:val="0"/>
    <w:pPr>
      <w:widowControl/>
      <w:spacing w:line="365" w:lineRule="atLeast"/>
      <w:ind w:left="1"/>
    </w:pPr>
    <w:rPr>
      <w:kern w:val="0"/>
      <w:sz w:val="20"/>
      <w:szCs w:val="20"/>
    </w:rPr>
  </w:style>
  <w:style w:type="paragraph" w:customStyle="1" w:styleId="69">
    <w:name w:val="无间距"/>
    <w:qFormat/>
    <w:uiPriority w:val="0"/>
    <w:pPr>
      <w:widowControl w:val="0"/>
      <w:jc w:val="both"/>
    </w:pPr>
    <w:rPr>
      <w:rFonts w:ascii="Calibri" w:hAnsi="Calibri" w:eastAsia="宋体" w:cs="Times New Roman"/>
      <w:kern w:val="2"/>
      <w:sz w:val="21"/>
      <w:szCs w:val="22"/>
      <w:lang w:val="en-US" w:eastAsia="zh-CN" w:bidi="ar-SA"/>
    </w:rPr>
  </w:style>
  <w:style w:type="paragraph" w:customStyle="1" w:styleId="70">
    <w:name w:val="彩色列表 - 强调文字颜色 11"/>
    <w:basedOn w:val="1"/>
    <w:qFormat/>
    <w:uiPriority w:val="34"/>
    <w:pPr>
      <w:ind w:firstLine="420" w:firstLineChars="200"/>
    </w:pPr>
    <w:rPr>
      <w:rFonts w:ascii="Calibri" w:hAnsi="Calibri"/>
      <w:sz w:val="21"/>
      <w:szCs w:val="22"/>
    </w:rPr>
  </w:style>
  <w:style w:type="paragraph" w:customStyle="1" w:styleId="71">
    <w:name w:val="正文1"/>
    <w:qFormat/>
    <w:uiPriority w:val="0"/>
    <w:pPr>
      <w:suppressAutoHyphens/>
      <w:spacing w:after="180" w:line="312" w:lineRule="auto"/>
    </w:pPr>
    <w:rPr>
      <w:rFonts w:ascii="Helvetica Neue Light" w:hAnsi="Helvetica Neue Light" w:eastAsia="ヒラギノ角ゴ Pro W3" w:cs="Times New Roman"/>
      <w:color w:val="000000"/>
      <w:sz w:val="18"/>
      <w:lang w:val="en-US" w:eastAsia="zh-CN" w:bidi="ar-SA"/>
    </w:rPr>
  </w:style>
  <w:style w:type="paragraph" w:customStyle="1" w:styleId="72">
    <w:name w:val="Char Char Char Char1"/>
    <w:basedOn w:val="1"/>
    <w:qFormat/>
    <w:uiPriority w:val="0"/>
    <w:rPr>
      <w:rFonts w:ascii="Tahoma" w:hAnsi="Tahoma"/>
      <w:sz w:val="24"/>
      <w:szCs w:val="20"/>
    </w:rPr>
  </w:style>
  <w:style w:type="paragraph" w:customStyle="1" w:styleId="73">
    <w:name w:val="List Paragraph1"/>
    <w:basedOn w:val="1"/>
    <w:qFormat/>
    <w:uiPriority w:val="0"/>
    <w:pPr>
      <w:ind w:firstLine="420" w:firstLineChars="200"/>
    </w:pPr>
    <w:rPr>
      <w:sz w:val="21"/>
    </w:rPr>
  </w:style>
  <w:style w:type="paragraph" w:customStyle="1" w:styleId="74">
    <w:name w:val="默认段落字体 Para Char Char Char Char Char Char Char Char Char1 Char Char Char Char"/>
    <w:basedOn w:val="1"/>
    <w:qFormat/>
    <w:uiPriority w:val="0"/>
    <w:rPr>
      <w:rFonts w:ascii="Tahoma" w:hAnsi="Tahoma"/>
      <w:sz w:val="24"/>
      <w:szCs w:val="20"/>
    </w:rPr>
  </w:style>
  <w:style w:type="paragraph" w:customStyle="1" w:styleId="75">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76">
    <w:name w:val="正文 A"/>
    <w:qFormat/>
    <w:uiPriority w:val="0"/>
    <w:pPr>
      <w:widowControl w:val="0"/>
      <w:jc w:val="both"/>
    </w:pPr>
    <w:rPr>
      <w:rFonts w:hint="eastAsia" w:ascii="Arial Unicode MS" w:hAnsi="Arial Unicode MS" w:eastAsia="Times New Roman" w:cs="Arial Unicode MS"/>
      <w:color w:val="000000"/>
      <w:kern w:val="2"/>
      <w:sz w:val="28"/>
      <w:szCs w:val="28"/>
      <w:u w:color="000000"/>
      <w:lang w:val="en-US" w:eastAsia="zh-CN" w:bidi="ar-SA"/>
    </w:rPr>
  </w:style>
  <w:style w:type="paragraph" w:customStyle="1" w:styleId="77">
    <w:name w:val="表内文字"/>
    <w:basedOn w:val="1"/>
    <w:qFormat/>
    <w:uiPriority w:val="0"/>
    <w:pPr>
      <w:tabs>
        <w:tab w:val="left" w:pos="1418"/>
      </w:tabs>
      <w:spacing w:line="360" w:lineRule="auto"/>
      <w:jc w:val="center"/>
    </w:pPr>
    <w:rPr>
      <w:rFonts w:hint="eastAsia" w:ascii="仿宋_GB2312" w:eastAsia="仿宋_GB2312"/>
      <w:spacing w:val="-20"/>
      <w:kern w:val="0"/>
      <w:sz w:val="24"/>
    </w:rPr>
  </w:style>
  <w:style w:type="character" w:customStyle="1" w:styleId="78">
    <w:name w:val="文档结构图 Char"/>
    <w:basedOn w:val="26"/>
    <w:link w:val="8"/>
    <w:semiHidden/>
    <w:qFormat/>
    <w:uiPriority w:val="99"/>
    <w:rPr>
      <w:rFonts w:ascii="宋体"/>
      <w:kern w:val="2"/>
      <w:sz w:val="18"/>
      <w:szCs w:val="18"/>
    </w:rPr>
  </w:style>
  <w:style w:type="paragraph" w:styleId="7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3E71FB-93A7-43B9-80EA-B220E1C93D2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32</Pages>
  <Words>14986</Words>
  <Characters>15882</Characters>
  <Lines>1</Lines>
  <Paragraphs>1</Paragraphs>
  <TotalTime>1</TotalTime>
  <ScaleCrop>false</ScaleCrop>
  <LinksUpToDate>false</LinksUpToDate>
  <CharactersWithSpaces>16753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2022-07-06T09:00:00Z</dcterms:created>
  <dc:creator>jj</dc:creator>
  <cp:lastModifiedBy>蒋晗</cp:lastModifiedBy>
  <cp:lastPrinted>2018-12-24T02:45:00Z</cp:lastPrinted>
  <dcterms:modified xsi:type="dcterms:W3CDTF">2023-06-28T11:46:20Z</dcterms:modified>
  <dc:title>求是招标代理有限公司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93BEA30CAD974A6DA92B4C5F482E71CF_13</vt:lpwstr>
  </property>
</Properties>
</file>