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36"/>
          <w:szCs w:val="36"/>
        </w:rPr>
      </w:pPr>
      <w:r>
        <w:rPr>
          <w:rFonts w:hint="eastAsia"/>
          <w:sz w:val="36"/>
          <w:szCs w:val="36"/>
        </w:rPr>
        <w:t>附件2</w:t>
      </w:r>
    </w:p>
    <w:p>
      <w:pPr>
        <w:spacing w:line="520" w:lineRule="exact"/>
        <w:ind w:firstLine="1080" w:firstLineChars="300"/>
        <w:rPr>
          <w:rFonts w:ascii="方正小标宋简体" w:hAnsi="华文中宋" w:eastAsia="方正小标宋简体"/>
          <w:bCs/>
          <w:sz w:val="36"/>
          <w:szCs w:val="36"/>
        </w:rPr>
      </w:pPr>
      <w:r>
        <w:rPr>
          <w:rFonts w:hint="eastAsia" w:ascii="方正小标宋简体" w:hAnsi="华文中宋" w:eastAsia="方正小标宋简体"/>
          <w:bCs/>
          <w:sz w:val="36"/>
          <w:szCs w:val="36"/>
        </w:rPr>
        <w:t>浙江省高校科研经费使用信息公开一览表</w:t>
      </w:r>
    </w:p>
    <w:p>
      <w:pPr>
        <w:spacing w:line="520" w:lineRule="exact"/>
        <w:jc w:val="center"/>
        <w:rPr>
          <w:rFonts w:asciiTheme="minorEastAsia" w:hAnsiTheme="minorEastAsia" w:eastAsiaTheme="minorEastAsia" w:cstheme="minorEastAsia"/>
          <w:bCs/>
          <w:color w:val="auto"/>
          <w:sz w:val="21"/>
          <w:szCs w:val="21"/>
        </w:rPr>
      </w:pPr>
      <w:r>
        <w:rPr>
          <w:rFonts w:hint="eastAsia" w:ascii="仿宋_GB2312" w:hAnsi="华文中宋"/>
          <w:bCs/>
          <w:sz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800100</wp:posOffset>
                </wp:positionH>
                <wp:positionV relativeFrom="paragraph">
                  <wp:posOffset>264160</wp:posOffset>
                </wp:positionV>
                <wp:extent cx="1143000" cy="0"/>
                <wp:effectExtent l="0" t="0" r="0" b="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430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63pt;margin-top:20.8pt;height:0pt;width:90pt;z-index:251659264;mso-width-relative:page;mso-height-relative:page;" filled="f" stroked="t" coordsize="21600,21600" o:gfxdata="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ClWM&#10;GtUAAAAJAQAADwAAAAAAAAABACAAAAAiAAAAZHJzL2Rvd25yZXYueG1sUEsBAhQAFAAAAAgAh07i&#10;QNQE+e3sAQAA2AMAAA4AAAAAAAAAAQAgAAAAJAEAAGRycy9lMm9Eb2MueG1sUEsFBgAAAAAGAAYA&#10;WQEAAII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hAnsi="华文中宋"/>
          <w:bCs/>
          <w:sz w:val="24"/>
        </w:rPr>
        <w:t>填</w:t>
      </w:r>
      <w:r>
        <w:rPr>
          <w:rFonts w:hint="eastAsia" w:asciiTheme="minorEastAsia" w:hAnsiTheme="minorEastAsia" w:eastAsiaTheme="minorEastAsia" w:cstheme="minorEastAsia"/>
          <w:bCs/>
          <w:sz w:val="21"/>
          <w:szCs w:val="21"/>
        </w:rPr>
        <w:t xml:space="preserve">表人： </w:t>
      </w:r>
      <w:r>
        <w:rPr>
          <w:rFonts w:hint="eastAsia" w:asciiTheme="minorEastAsia" w:hAnsiTheme="minorEastAsia" w:eastAsiaTheme="minorEastAsia" w:cstheme="minorEastAsia"/>
          <w:bCs/>
          <w:color w:val="C00000"/>
          <w:sz w:val="21"/>
          <w:szCs w:val="21"/>
        </w:rPr>
        <w:t xml:space="preserve"> </w:t>
      </w:r>
      <w:r>
        <w:rPr>
          <w:rFonts w:hint="eastAsia" w:asciiTheme="minorEastAsia" w:hAnsiTheme="minorEastAsia" w:eastAsiaTheme="minorEastAsia" w:cstheme="minorEastAsia"/>
          <w:bCs/>
          <w:color w:val="auto"/>
          <w:sz w:val="21"/>
          <w:szCs w:val="21"/>
          <w:lang w:val="en-US" w:eastAsia="zh-CN"/>
        </w:rPr>
        <w:t>张媛</w:t>
      </w:r>
      <w:r>
        <w:rPr>
          <w:rFonts w:hint="eastAsia" w:asciiTheme="minorEastAsia" w:hAnsiTheme="minorEastAsia" w:eastAsiaTheme="minorEastAsia" w:cstheme="minorEastAsia"/>
          <w:bCs/>
          <w:sz w:val="21"/>
          <w:szCs w:val="21"/>
        </w:rPr>
        <w:t xml:space="preserve">                      填表日</w:t>
      </w:r>
      <w:r>
        <w:rPr>
          <w:rFonts w:hint="eastAsia" w:asciiTheme="minorEastAsia" w:hAnsiTheme="minorEastAsia" w:eastAsiaTheme="minorEastAsia" w:cstheme="minorEastAsia"/>
          <w:bCs/>
          <w:color w:val="auto"/>
          <w:sz w:val="21"/>
          <w:szCs w:val="21"/>
        </w:rPr>
        <w:t>期：</w:t>
      </w:r>
      <w:r>
        <w:rPr>
          <w:rFonts w:hint="eastAsia" w:asciiTheme="minorEastAsia" w:hAnsiTheme="minorEastAsia" w:eastAsiaTheme="minorEastAsia" w:cstheme="minorEastAsia"/>
          <w:bCs/>
          <w:color w:val="auto"/>
          <w:sz w:val="21"/>
          <w:szCs w:val="21"/>
          <w:lang w:val="en-US" w:eastAsia="zh-CN"/>
        </w:rPr>
        <w:t>2024</w:t>
      </w:r>
      <w:r>
        <w:rPr>
          <w:rFonts w:hint="eastAsia" w:asciiTheme="minorEastAsia" w:hAnsiTheme="minorEastAsia" w:eastAsiaTheme="minorEastAsia" w:cstheme="minorEastAsia"/>
          <w:bCs/>
          <w:color w:val="auto"/>
          <w:sz w:val="21"/>
          <w:szCs w:val="21"/>
        </w:rPr>
        <w:t>年</w:t>
      </w:r>
      <w:r>
        <w:rPr>
          <w:rFonts w:hint="eastAsia" w:asciiTheme="minorEastAsia" w:hAnsiTheme="minorEastAsia" w:eastAsiaTheme="minorEastAsia" w:cstheme="minorEastAsia"/>
          <w:bCs/>
          <w:color w:val="auto"/>
          <w:sz w:val="21"/>
          <w:szCs w:val="21"/>
          <w:lang w:val="en-US" w:eastAsia="zh-CN"/>
        </w:rPr>
        <w:t>3</w:t>
      </w:r>
      <w:r>
        <w:rPr>
          <w:rFonts w:hint="eastAsia" w:asciiTheme="minorEastAsia" w:hAnsiTheme="minorEastAsia" w:eastAsiaTheme="minorEastAsia" w:cstheme="minorEastAsia"/>
          <w:bCs/>
          <w:color w:val="auto"/>
          <w:sz w:val="21"/>
          <w:szCs w:val="21"/>
        </w:rPr>
        <w:t>月</w:t>
      </w:r>
      <w:r>
        <w:rPr>
          <w:rFonts w:hint="eastAsia" w:asciiTheme="minorEastAsia" w:hAnsiTheme="minorEastAsia" w:eastAsiaTheme="minorEastAsia" w:cstheme="minorEastAsia"/>
          <w:bCs/>
          <w:color w:val="auto"/>
          <w:sz w:val="21"/>
          <w:szCs w:val="21"/>
          <w:lang w:val="en-US" w:eastAsia="zh-CN"/>
        </w:rPr>
        <w:t>18</w:t>
      </w:r>
      <w:r>
        <w:rPr>
          <w:rFonts w:hint="eastAsia" w:asciiTheme="minorEastAsia" w:hAnsiTheme="minorEastAsia" w:eastAsiaTheme="minorEastAsia" w:cstheme="minorEastAsia"/>
          <w:bCs/>
          <w:color w:val="auto"/>
          <w:sz w:val="21"/>
          <w:szCs w:val="21"/>
        </w:rPr>
        <w:t>日</w:t>
      </w:r>
    </w:p>
    <w:tbl>
      <w:tblPr>
        <w:tblStyle w:val="4"/>
        <w:tblW w:w="969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8"/>
        <w:gridCol w:w="1464"/>
        <w:gridCol w:w="1376"/>
        <w:gridCol w:w="6"/>
        <w:gridCol w:w="918"/>
        <w:gridCol w:w="121"/>
        <w:gridCol w:w="146"/>
        <w:gridCol w:w="1508"/>
        <w:gridCol w:w="75"/>
        <w:gridCol w:w="1274"/>
        <w:gridCol w:w="1224"/>
        <w:gridCol w:w="10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  <w:jc w:val="center"/>
        </w:trPr>
        <w:tc>
          <w:tcPr>
            <w:tcW w:w="51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立项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信息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项目名称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基于大数据分析的财务管理系统软件开发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立项部门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杭州和众天下新能源有限公司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实施期限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both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2024年1月-12月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4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协作单位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8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项目负责人及课题组成员</w:t>
            </w: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姓名</w:t>
            </w:r>
          </w:p>
        </w:tc>
        <w:tc>
          <w:tcPr>
            <w:tcW w:w="11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职称</w:t>
            </w:r>
          </w:p>
        </w:tc>
        <w:tc>
          <w:tcPr>
            <w:tcW w:w="28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工作单位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承担任务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张媛</w:t>
            </w:r>
          </w:p>
        </w:tc>
        <w:tc>
          <w:tcPr>
            <w:tcW w:w="11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讲师</w:t>
            </w:r>
          </w:p>
        </w:tc>
        <w:tc>
          <w:tcPr>
            <w:tcW w:w="28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浙江金融职业学院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项目开发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1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1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8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9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1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8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ind w:left="42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7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1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8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9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1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8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ind w:left="42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经费总额</w:t>
            </w: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388" w:firstLineChars="185"/>
              <w:jc w:val="lef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20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1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其中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拨款</w:t>
            </w:r>
          </w:p>
        </w:tc>
        <w:tc>
          <w:tcPr>
            <w:tcW w:w="1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338" w:firstLineChars="161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其他经费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来源及金额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420" w:firstLine="703" w:firstLineChars="335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20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1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经费预算</w:t>
            </w:r>
          </w:p>
        </w:tc>
        <w:tc>
          <w:tcPr>
            <w:tcW w:w="256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业务费</w:t>
            </w:r>
          </w:p>
        </w:tc>
        <w:tc>
          <w:tcPr>
            <w:tcW w:w="1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20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间接费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用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6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56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专家劳务费</w:t>
            </w:r>
          </w:p>
        </w:tc>
        <w:tc>
          <w:tcPr>
            <w:tcW w:w="1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1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56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设备费</w:t>
            </w:r>
          </w:p>
        </w:tc>
        <w:tc>
          <w:tcPr>
            <w:tcW w:w="1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3" w:hRule="atLeast"/>
          <w:jc w:val="center"/>
        </w:trPr>
        <w:tc>
          <w:tcPr>
            <w:tcW w:w="51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过程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信息</w:t>
            </w: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经费到位情况</w:t>
            </w:r>
          </w:p>
        </w:tc>
        <w:tc>
          <w:tcPr>
            <w:tcW w:w="13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已拨入</w:t>
            </w:r>
          </w:p>
        </w:tc>
        <w:tc>
          <w:tcPr>
            <w:tcW w:w="11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121" w:firstLineChars="58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20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1"/>
                <w:szCs w:val="21"/>
              </w:rPr>
              <w:t>万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</w:rPr>
              <w:t>元</w:t>
            </w:r>
          </w:p>
        </w:tc>
        <w:tc>
          <w:tcPr>
            <w:tcW w:w="1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未拨入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367" w:firstLineChars="175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实际经费使用总额</w:t>
            </w:r>
          </w:p>
        </w:tc>
        <w:tc>
          <w:tcPr>
            <w:tcW w:w="1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420" w:firstLineChars="200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1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both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阶段性成果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9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预算支出情况</w:t>
            </w:r>
          </w:p>
        </w:tc>
        <w:tc>
          <w:tcPr>
            <w:tcW w:w="24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业务费</w:t>
            </w:r>
          </w:p>
        </w:tc>
        <w:tc>
          <w:tcPr>
            <w:tcW w:w="16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间接费用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6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4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专家劳务费</w:t>
            </w:r>
          </w:p>
        </w:tc>
        <w:tc>
          <w:tcPr>
            <w:tcW w:w="16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外协费拨出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3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4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设备费</w:t>
            </w:r>
          </w:p>
        </w:tc>
        <w:tc>
          <w:tcPr>
            <w:tcW w:w="16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780"/>
                <w:tab w:val="center" w:pos="2437"/>
              </w:tabs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780"/>
                <w:tab w:val="center" w:pos="2437"/>
              </w:tabs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3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1万以上设备名称和价格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780"/>
                <w:tab w:val="center" w:pos="2437"/>
              </w:tabs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  <w:p>
            <w:pPr>
              <w:tabs>
                <w:tab w:val="left" w:pos="780"/>
                <w:tab w:val="center" w:pos="2437"/>
              </w:tabs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3" w:hRule="atLeast"/>
          <w:jc w:val="center"/>
        </w:trPr>
        <w:tc>
          <w:tcPr>
            <w:tcW w:w="51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结题验收信息</w:t>
            </w: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06" w:rightChars="-38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获得的标志性成果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3417"/>
                <w:tab w:val="left" w:pos="4380"/>
              </w:tabs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  <w:p>
            <w:pPr>
              <w:tabs>
                <w:tab w:val="center" w:pos="3417"/>
                <w:tab w:val="left" w:pos="4380"/>
              </w:tabs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0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06" w:rightChars="-38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经费结算情况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8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06" w:rightChars="-38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验收时间</w:t>
            </w:r>
          </w:p>
        </w:tc>
        <w:tc>
          <w:tcPr>
            <w:tcW w:w="23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8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验收组织单位</w:t>
            </w:r>
          </w:p>
        </w:tc>
        <w:tc>
          <w:tcPr>
            <w:tcW w:w="35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2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06" w:rightChars="-38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验收组成员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1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06" w:rightChars="-38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结题验收意见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</w:tbl>
    <w:p>
      <w:pPr>
        <w:spacing w:after="156" w:afterLines="50"/>
      </w:pPr>
      <w:r>
        <w:rPr>
          <w:rFonts w:hint="eastAsia" w:ascii="仿宋_GB2312"/>
          <w:sz w:val="24"/>
        </w:rPr>
        <w:t>注：涉及商业秘密的，委托单位、项目名称等敏感关键词用“*”替代。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1" w:fontKey="{112EF3E8-C891-4FF2-9910-5CE2A34A9EBA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33CCE376-D168-43EF-A1F3-4D3AEF31E8C3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3" w:fontKey="{92BA5116-3E73-42DB-82F5-BB53282D68DD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I0ZWQzNjU5YWIzNDZmMDMwODU2Y2M2NTg0ZmQyYjIifQ=="/>
  </w:docVars>
  <w:rsids>
    <w:rsidRoot w:val="365F4CE1"/>
    <w:rsid w:val="00010C44"/>
    <w:rsid w:val="009C127A"/>
    <w:rsid w:val="00EA3EDC"/>
    <w:rsid w:val="11AB7903"/>
    <w:rsid w:val="13914AED"/>
    <w:rsid w:val="192A53B4"/>
    <w:rsid w:val="208615D1"/>
    <w:rsid w:val="2BC127E4"/>
    <w:rsid w:val="365F4CE1"/>
    <w:rsid w:val="48A62558"/>
    <w:rsid w:val="4CE65929"/>
    <w:rsid w:val="508825A3"/>
    <w:rsid w:val="575431DF"/>
    <w:rsid w:val="59B80C41"/>
    <w:rsid w:val="5C976331"/>
    <w:rsid w:val="64947310"/>
    <w:rsid w:val="64AF5787"/>
    <w:rsid w:val="672876DB"/>
    <w:rsid w:val="6DD2507B"/>
    <w:rsid w:val="72100E40"/>
    <w:rsid w:val="77A852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600" w:lineRule="exact"/>
      <w:jc w:val="both"/>
    </w:pPr>
    <w:rPr>
      <w:rFonts w:ascii="Times New Roman" w:hAnsi="Times New Roman" w:eastAsia="仿宋_GB2312" w:cs="Times New Roman"/>
      <w:kern w:val="2"/>
      <w:sz w:val="28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0"/>
    <w:rPr>
      <w:rFonts w:eastAsia="仿宋_GB2312"/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0"/>
    <w:rPr>
      <w:rFonts w:eastAsia="仿宋_GB2312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107</Words>
  <Characters>615</Characters>
  <Lines>5</Lines>
  <Paragraphs>1</Paragraphs>
  <TotalTime>18</TotalTime>
  <ScaleCrop>false</ScaleCrop>
  <LinksUpToDate>false</LinksUpToDate>
  <CharactersWithSpaces>721</CharactersWithSpaces>
  <Application>WPS Office_12.1.0.15946_F1E327BC-269C-435d-A152-05C5408002CA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2018-11-16T06:56:00Z</dcterms:created>
  <dc:creator>随性</dc:creator>
  <cp:lastModifiedBy>莫卡</cp:lastModifiedBy>
  <dcterms:modified xsi:type="dcterms:W3CDTF">2024-07-25T05:25:18Z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2052-12.1.0.15946</vt:lpwstr>
  </property>
  <property fmtid="{D5CDD505-2E9C-101B-9397-08002B2CF9AE}" pid="3" name="ICV">
    <vt:lpwstr>5F0D4B269DE34C33BCFB219AA71B5ABD_13</vt:lpwstr>
  </property>
</Properties>
</file>